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1440" w:after="400"/>
      </w:pPr>
      <w:r>
        <w:t>SUBSTELLAR</w:t>
      </w:r>
    </w:p>
    <w:p>
      <w:pPr>
        <w:pStyle w:val="Subtitle"/>
      </w:pPr>
      <w:r>
        <w:t>Creative and Product Direction</w:t>
      </w:r>
    </w:p>
    <w:p>
      <w:pPr>
        <w:spacing w:before="400"/>
      </w:pPr>
      <w:r>
        <w:t>Text edition for creative review</w:t>
      </w:r>
    </w:p>
    <w:p>
      <w:pPr>
        <w:pStyle w:val="SmallText"/>
      </w:pPr>
      <w:r>
        <w:t>Version 0.1   6 October 2026</w:t>
      </w:r>
    </w:p>
    <w:p>
      <w:pPr>
        <w:spacing w:before="680"/>
      </w:pPr>
      <w:r>
        <w:t>A complete reference for the intended worlds, experiences, settlements, progression, equipment, spacecraft, and illustrated edition.</w:t>
      </w:r>
    </w:p>
    <w:p>
      <w:pPr>
        <w:spacing w:before="160"/>
      </w:pPr>
      <w:r>
        <w:t>The journey begins with a familiar home and continues through the Earth below it, the Solar System, and the proposed worlds of Afterlight.</w:t>
      </w:r>
    </w:p>
    <w:p>
      <w:pPr>
        <w:spacing w:before="480"/>
      </w:pPr>
      <w:r>
        <w:t>Text confirmation is the next creative checkpoint. The full image register is included for the subsequent illustrated edition.</w:t>
      </w:r>
    </w:p>
    <w:p>
      <w:r>
        <w:br w:type="page"/>
      </w:r>
    </w:p>
    <w:p>
      <w:bookmarkStart w:id="9999" w:name="contents"/>
      <w:pPr>
        <w:pStyle w:val="Heading1"/>
        <w:pageBreakBefore w:val="0"/>
      </w:pPr>
      <w:r>
        <w:t>Contents</w:t>
      </w:r>
      <w:bookmarkEnd w:id="9999"/>
    </w:p>
    <w:p>
      <w:pPr>
        <w:pStyle w:val="SmallText"/>
      </w:pPr>
      <w:r>
        <w:t>Each entry links to its chapter. Word navigation also exposes the detailed headings, named environments, materials, and image references.</w:t>
      </w:r>
    </w:p>
    <w:p>
      <w:pPr>
        <w:pStyle w:val="TOCEntry"/>
      </w:pPr>
      <w:hyperlink w:anchor="chapter_01">
        <w:r>
          <w:rPr>
            <w:color w:val="000000"/>
            <w:sz w:val="21"/>
          </w:rPr>
          <w:t>The creative foundation</w:t>
        </w:r>
      </w:hyperlink>
      <w:r>
        <w:tab/>
        <w:t>3</w:t>
      </w:r>
    </w:p>
    <w:p>
      <w:pPr>
        <w:pStyle w:val="TOCEntry"/>
      </w:pPr>
      <w:hyperlink w:anchor="chapter_02">
        <w:r>
          <w:rPr>
            <w:color w:val="000000"/>
            <w:sz w:val="21"/>
          </w:rPr>
          <w:t>The complete player journey</w:t>
        </w:r>
      </w:hyperlink>
      <w:r>
        <w:tab/>
        <w:t>7</w:t>
      </w:r>
    </w:p>
    <w:p>
      <w:pPr>
        <w:pStyle w:val="TOCEntry"/>
      </w:pPr>
      <w:hyperlink w:anchor="chapter_03">
        <w:r>
          <w:rPr>
            <w:color w:val="000000"/>
            <w:sz w:val="21"/>
          </w:rPr>
          <w:t>The vertical world specification</w:t>
        </w:r>
      </w:hyperlink>
      <w:r>
        <w:tab/>
        <w:t>9</w:t>
      </w:r>
    </w:p>
    <w:p>
      <w:pPr>
        <w:pStyle w:val="TOCEntry"/>
      </w:pPr>
      <w:hyperlink w:anchor="chapter_04">
        <w:r>
          <w:rPr>
            <w:color w:val="000000"/>
            <w:sz w:val="21"/>
          </w:rPr>
          <w:t>World generation and the Earth atlas</w:t>
        </w:r>
      </w:hyperlink>
      <w:r>
        <w:tab/>
        <w:t>10</w:t>
      </w:r>
    </w:p>
    <w:p>
      <w:pPr>
        <w:pStyle w:val="TOCEntry"/>
      </w:pPr>
      <w:hyperlink w:anchor="chapter_05">
        <w:r>
          <w:rPr>
            <w:color w:val="000000"/>
            <w:sz w:val="21"/>
          </w:rPr>
          <w:t>Overworld</w:t>
        </w:r>
      </w:hyperlink>
      <w:r>
        <w:tab/>
        <w:t>15</w:t>
      </w:r>
    </w:p>
    <w:p>
      <w:pPr>
        <w:pStyle w:val="TOCEntry"/>
      </w:pPr>
      <w:hyperlink w:anchor="chapter_06">
        <w:r>
          <w:rPr>
            <w:color w:val="000000"/>
            <w:sz w:val="21"/>
          </w:rPr>
          <w:t>Shallows</w:t>
        </w:r>
      </w:hyperlink>
      <w:r>
        <w:tab/>
        <w:t>16</w:t>
      </w:r>
    </w:p>
    <w:p>
      <w:pPr>
        <w:pStyle w:val="TOCEntry"/>
      </w:pPr>
      <w:hyperlink w:anchor="chapter_07">
        <w:r>
          <w:rPr>
            <w:color w:val="000000"/>
            <w:sz w:val="21"/>
          </w:rPr>
          <w:t>Deepwilds</w:t>
        </w:r>
      </w:hyperlink>
      <w:r>
        <w:tab/>
        <w:t>18</w:t>
      </w:r>
    </w:p>
    <w:p>
      <w:pPr>
        <w:pStyle w:val="TOCEntry"/>
      </w:pPr>
      <w:hyperlink w:anchor="chapter_08">
        <w:r>
          <w:rPr>
            <w:color w:val="000000"/>
            <w:sz w:val="21"/>
          </w:rPr>
          <w:t>Underreach</w:t>
        </w:r>
      </w:hyperlink>
      <w:r>
        <w:tab/>
        <w:t>20</w:t>
      </w:r>
    </w:p>
    <w:p>
      <w:pPr>
        <w:pStyle w:val="TOCEntry"/>
      </w:pPr>
      <w:hyperlink w:anchor="chapter_09">
        <w:r>
          <w:rPr>
            <w:color w:val="000000"/>
            <w:sz w:val="21"/>
          </w:rPr>
          <w:t>Abyss</w:t>
        </w:r>
      </w:hyperlink>
      <w:r>
        <w:tab/>
        <w:t>22</w:t>
      </w:r>
    </w:p>
    <w:p>
      <w:pPr>
        <w:pStyle w:val="TOCEntry"/>
      </w:pPr>
      <w:hyperlink w:anchor="chapter_10">
        <w:r>
          <w:rPr>
            <w:color w:val="000000"/>
            <w:sz w:val="21"/>
          </w:rPr>
          <w:t>Mantle</w:t>
        </w:r>
      </w:hyperlink>
      <w:r>
        <w:tab/>
        <w:t>24</w:t>
      </w:r>
    </w:p>
    <w:p>
      <w:pPr>
        <w:pStyle w:val="TOCEntry"/>
      </w:pPr>
      <w:hyperlink w:anchor="chapter_11">
        <w:r>
          <w:rPr>
            <w:color w:val="000000"/>
            <w:sz w:val="21"/>
          </w:rPr>
          <w:t>Core</w:t>
        </w:r>
      </w:hyperlink>
      <w:r>
        <w:tab/>
        <w:t>25</w:t>
      </w:r>
    </w:p>
    <w:p>
      <w:pPr>
        <w:pStyle w:val="TOCEntry"/>
      </w:pPr>
      <w:hyperlink w:anchor="chapter_12">
        <w:r>
          <w:rPr>
            <w:color w:val="000000"/>
            <w:sz w:val="21"/>
          </w:rPr>
          <w:t>Settlements and authored adventures</w:t>
        </w:r>
      </w:hyperlink>
      <w:r>
        <w:tab/>
        <w:t>28</w:t>
      </w:r>
    </w:p>
    <w:p>
      <w:pPr>
        <w:pStyle w:val="TOCEntry"/>
      </w:pPr>
      <w:hyperlink w:anchor="chapter_13">
        <w:r>
          <w:rPr>
            <w:color w:val="000000"/>
            <w:sz w:val="21"/>
          </w:rPr>
          <w:t>Old Valley</w:t>
        </w:r>
      </w:hyperlink>
      <w:r>
        <w:tab/>
        <w:t>30</w:t>
      </w:r>
    </w:p>
    <w:p>
      <w:pPr>
        <w:pStyle w:val="TOCEntry"/>
      </w:pPr>
      <w:hyperlink w:anchor="chapter_14">
        <w:r>
          <w:rPr>
            <w:color w:val="000000"/>
            <w:sz w:val="21"/>
          </w:rPr>
          <w:t>Residents and settlement systems</w:t>
        </w:r>
      </w:hyperlink>
      <w:r>
        <w:tab/>
        <w:t>34</w:t>
      </w:r>
    </w:p>
    <w:p>
      <w:pPr>
        <w:pStyle w:val="TOCEntry"/>
      </w:pPr>
      <w:hyperlink w:anchor="chapter_15">
        <w:r>
          <w:rPr>
            <w:color w:val="000000"/>
            <w:sz w:val="21"/>
          </w:rPr>
          <w:t>Connected adventures and player experience</w:t>
        </w:r>
      </w:hyperlink>
      <w:r>
        <w:tab/>
        <w:t>39</w:t>
      </w:r>
    </w:p>
    <w:p>
      <w:pPr>
        <w:pStyle w:val="TOCEntry"/>
      </w:pPr>
      <w:hyperlink w:anchor="chapter_16">
        <w:r>
          <w:rPr>
            <w:color w:val="000000"/>
            <w:sz w:val="21"/>
          </w:rPr>
          <w:t>Life ecology and encounters</w:t>
        </w:r>
      </w:hyperlink>
      <w:r>
        <w:tab/>
        <w:t>43</w:t>
      </w:r>
    </w:p>
    <w:p>
      <w:pPr>
        <w:pStyle w:val="TOCEntry"/>
      </w:pPr>
      <w:hyperlink w:anchor="chapter_17">
        <w:r>
          <w:rPr>
            <w:color w:val="000000"/>
            <w:sz w:val="21"/>
          </w:rPr>
          <w:t>Materials and the crafting economy</w:t>
        </w:r>
      </w:hyperlink>
      <w:r>
        <w:tab/>
        <w:t>50</w:t>
      </w:r>
    </w:p>
    <w:p>
      <w:pPr>
        <w:pStyle w:val="TOCEntry"/>
      </w:pPr>
      <w:hyperlink w:anchor="chapter_18">
        <w:r>
          <w:rPr>
            <w:color w:val="000000"/>
            <w:sz w:val="21"/>
          </w:rPr>
          <w:t>Tools equipment and preparation</w:t>
        </w:r>
      </w:hyperlink>
      <w:r>
        <w:tab/>
        <w:t>56</w:t>
      </w:r>
    </w:p>
    <w:p>
      <w:pPr>
        <w:pStyle w:val="TOCEntry"/>
      </w:pPr>
      <w:hyperlink w:anchor="chapter_19">
        <w:r>
          <w:rPr>
            <w:color w:val="000000"/>
            <w:sz w:val="21"/>
          </w:rPr>
          <w:t>Production transport and settlement technology</w:t>
        </w:r>
      </w:hyperlink>
      <w:r>
        <w:tab/>
        <w:t>62</w:t>
      </w:r>
    </w:p>
    <w:p>
      <w:pPr>
        <w:pStyle w:val="TOCEntry"/>
      </w:pPr>
      <w:hyperlink w:anchor="chapter_20">
        <w:r>
          <w:rPr>
            <w:color w:val="000000"/>
            <w:sz w:val="21"/>
          </w:rPr>
          <w:t>Power fuel and the cost of travel</w:t>
        </w:r>
      </w:hyperlink>
      <w:r>
        <w:tab/>
        <w:t>65</w:t>
      </w:r>
    </w:p>
    <w:p>
      <w:pPr>
        <w:pStyle w:val="TOCEntry"/>
      </w:pPr>
      <w:hyperlink w:anchor="chapter_21">
        <w:r>
          <w:rPr>
            <w:color w:val="000000"/>
            <w:sz w:val="21"/>
          </w:rPr>
          <w:t>Space exploration</w:t>
        </w:r>
      </w:hyperlink>
      <w:r>
        <w:tab/>
        <w:t>67</w:t>
      </w:r>
    </w:p>
    <w:p>
      <w:pPr>
        <w:pStyle w:val="TOCEntry"/>
      </w:pPr>
      <w:hyperlink w:anchor="chapter_22">
        <w:r>
          <w:rPr>
            <w:color w:val="000000"/>
            <w:sz w:val="21"/>
          </w:rPr>
          <w:t>Moon</w:t>
        </w:r>
      </w:hyperlink>
      <w:r>
        <w:tab/>
        <w:t>68</w:t>
      </w:r>
    </w:p>
    <w:p>
      <w:pPr>
        <w:pStyle w:val="TOCEntry"/>
      </w:pPr>
      <w:hyperlink w:anchor="chapter_23">
        <w:r>
          <w:rPr>
            <w:color w:val="000000"/>
            <w:sz w:val="21"/>
          </w:rPr>
          <w:t>Mars</w:t>
        </w:r>
      </w:hyperlink>
      <w:r>
        <w:tab/>
        <w:t>70</w:t>
      </w:r>
    </w:p>
    <w:p>
      <w:pPr>
        <w:pStyle w:val="TOCEntry"/>
      </w:pPr>
      <w:hyperlink w:anchor="chapter_24">
        <w:r>
          <w:rPr>
            <w:color w:val="000000"/>
            <w:sz w:val="21"/>
          </w:rPr>
          <w:t>Ceres</w:t>
        </w:r>
      </w:hyperlink>
      <w:r>
        <w:tab/>
        <w:t>72</w:t>
      </w:r>
    </w:p>
    <w:p>
      <w:pPr>
        <w:pStyle w:val="TOCEntry"/>
      </w:pPr>
      <w:hyperlink w:anchor="chapter_25">
        <w:r>
          <w:rPr>
            <w:color w:val="000000"/>
            <w:sz w:val="21"/>
          </w:rPr>
          <w:t>Europa</w:t>
        </w:r>
      </w:hyperlink>
      <w:r>
        <w:tab/>
        <w:t>74</w:t>
      </w:r>
    </w:p>
    <w:p>
      <w:pPr>
        <w:pStyle w:val="TOCEntry"/>
      </w:pPr>
      <w:hyperlink w:anchor="chapter_26">
        <w:r>
          <w:rPr>
            <w:color w:val="000000"/>
            <w:sz w:val="21"/>
          </w:rPr>
          <w:t>Io</w:t>
        </w:r>
      </w:hyperlink>
      <w:r>
        <w:tab/>
        <w:t>76</w:t>
      </w:r>
    </w:p>
    <w:p>
      <w:pPr>
        <w:pStyle w:val="TOCEntry"/>
      </w:pPr>
      <w:hyperlink w:anchor="chapter_27">
        <w:r>
          <w:rPr>
            <w:color w:val="000000"/>
            <w:sz w:val="21"/>
          </w:rPr>
          <w:t>Titan</w:t>
        </w:r>
      </w:hyperlink>
      <w:r>
        <w:tab/>
        <w:t>77</w:t>
      </w:r>
    </w:p>
    <w:p>
      <w:pPr>
        <w:pStyle w:val="TOCEntry"/>
      </w:pPr>
      <w:hyperlink w:anchor="chapter_28">
        <w:r>
          <w:rPr>
            <w:color w:val="000000"/>
            <w:sz w:val="21"/>
          </w:rPr>
          <w:t>Pluto</w:t>
        </w:r>
      </w:hyperlink>
      <w:r>
        <w:tab/>
        <w:t>79</w:t>
      </w:r>
    </w:p>
    <w:p>
      <w:pPr>
        <w:pStyle w:val="TOCEntry"/>
      </w:pPr>
      <w:hyperlink w:anchor="chapter_29">
        <w:r>
          <w:rPr>
            <w:color w:val="000000"/>
            <w:sz w:val="21"/>
          </w:rPr>
          <w:t>Afterlight</w:t>
        </w:r>
      </w:hyperlink>
      <w:r>
        <w:tab/>
        <w:t>81</w:t>
      </w:r>
    </w:p>
    <w:p>
      <w:pPr>
        <w:pStyle w:val="TOCEntry"/>
      </w:pPr>
      <w:hyperlink w:anchor="chapter_30">
        <w:r>
          <w:rPr>
            <w:color w:val="000000"/>
            <w:sz w:val="21"/>
          </w:rPr>
          <w:t>Cairn</w:t>
        </w:r>
      </w:hyperlink>
      <w:r>
        <w:tab/>
        <w:t>81</w:t>
      </w:r>
    </w:p>
    <w:p>
      <w:pPr>
        <w:pStyle w:val="TOCEntry"/>
      </w:pPr>
      <w:hyperlink w:anchor="chapter_31">
        <w:r>
          <w:rPr>
            <w:color w:val="000000"/>
            <w:sz w:val="21"/>
          </w:rPr>
          <w:t>Morrow</w:t>
        </w:r>
      </w:hyperlink>
      <w:r>
        <w:tab/>
        <w:t>83</w:t>
      </w:r>
    </w:p>
    <w:p>
      <w:pPr>
        <w:pStyle w:val="TOCEntry"/>
      </w:pPr>
      <w:hyperlink w:anchor="chapter_32">
        <w:r>
          <w:rPr>
            <w:color w:val="000000"/>
            <w:sz w:val="21"/>
          </w:rPr>
          <w:t>Spacecraft and orbital places</w:t>
        </w:r>
      </w:hyperlink>
      <w:r>
        <w:tab/>
        <w:t>84</w:t>
      </w:r>
    </w:p>
    <w:p>
      <w:pPr>
        <w:pStyle w:val="TOCEntry"/>
      </w:pPr>
      <w:hyperlink w:anchor="chapter_33">
        <w:r>
          <w:rPr>
            <w:color w:val="000000"/>
            <w:sz w:val="21"/>
          </w:rPr>
          <w:t>Planetary materials and reference catalogue</w:t>
        </w:r>
      </w:hyperlink>
      <w:r>
        <w:tab/>
        <w:t>90</w:t>
      </w:r>
    </w:p>
    <w:p>
      <w:pPr>
        <w:pStyle w:val="TOCEntry"/>
      </w:pPr>
      <w:hyperlink w:anchor="chapter_34">
        <w:r>
          <w:rPr>
            <w:color w:val="000000"/>
            <w:sz w:val="21"/>
          </w:rPr>
          <w:t>Visual direction and the illustrated edition</w:t>
        </w:r>
      </w:hyperlink>
      <w:r>
        <w:tab/>
        <w:t>93</w:t>
      </w:r>
    </w:p>
    <w:p>
      <w:pPr>
        <w:pStyle w:val="TOCEntry"/>
      </w:pPr>
      <w:hyperlink w:anchor="chapter_35">
        <w:r>
          <w:rPr>
            <w:color w:val="000000"/>
            <w:sz w:val="21"/>
          </w:rPr>
          <w:t>Turning the creative direction into a future roadmap</w:t>
        </w:r>
      </w:hyperlink>
      <w:r>
        <w:tab/>
        <w:t>106</w:t>
      </w:r>
    </w:p>
    <w:p>
      <w:pPr>
        <w:pStyle w:val="TOCEntry"/>
      </w:pPr>
      <w:hyperlink w:anchor="chapter_36">
        <w:r>
          <w:rPr>
            <w:color w:val="000000"/>
            <w:sz w:val="21"/>
          </w:rPr>
          <w:t>Source records and terminology</w:t>
        </w:r>
      </w:hyperlink>
      <w:r>
        <w:tab/>
        <w:t>109</w:t>
      </w:r>
    </w:p>
    <w:p>
      <w:r>
        <w:br w:type="page"/>
      </w:r>
    </w:p>
    <w:p>
      <w:bookmarkStart w:id="1" w:name="chapter_01"/>
      <w:pPr>
        <w:pStyle w:val="Heading1"/>
      </w:pPr>
      <w:r>
        <w:t>The creative foundation</w:t>
      </w:r>
      <w:bookmarkEnd w:id="1"/>
    </w:p>
    <w:p>
      <w:pPr>
        <w:pStyle w:val="Heading2"/>
      </w:pPr>
      <w:r>
        <w:t>Purpose of this document</w:t>
      </w:r>
    </w:p>
    <w:p>
      <w:pPr/>
      <w:r>
        <w:t>SUBSTELLAR is a Minecraft survival adventure built around the relationship between a home worth returning to and worlds worth exploring. The player begins in a recognizable Overworld, develops a useful settlement, and discovers that the underground contains enough places, lives, materials, and unfinished work to support a long adventure of its own. The capabilities earned below ground eventually make the first journey into space possible. Landing on another world opens another landscape to learn, another descent to prepare, and another place that can become a home.</w:t>
      </w:r>
    </w:p>
    <w:p>
      <w:pPr/>
      <w:r>
        <w:t>This document describes the full creative and product direction. It defines the intended experiences, the rules that make those experiences coherent, and the content families that a later roadmap can draw from. Its environment profiles, settlement journeys, equipment catalogues, spacecraft classes, and illustration register are designed to be read together. A resource matters because it changes what a player can do in a place. A settlement matters because it changes the experience of leaving and returning. A planet earns its place because it asks the player to learn something different.</w:t>
      </w:r>
    </w:p>
    <w:p>
      <w:pPr/>
      <w:r>
        <w:t>Version 0.1 is the complete text proposal for creative review. The established project foundation is identified below. All expanded biomes, destination treatments, material properties, supporting structures, encounters, and named examples are proposed additions until accepted. The illustration register specifies future visual work; this edition contains no newly generated concept art. Text approval comes before visual production, and neither approval automatically starts implementation.</w:t>
      </w:r>
    </w:p>
    <w:p>
      <w:pPr/>
      <w:r>
        <w:t>The long-term vision is deliberately larger than an initial release. The existing generation-first development sequence remains the engineering starting point. This document supplies direction for that sequence and the work that could follow; it does not replace verified repository state, assign delivery dates, or claim that described features already run in the game.</w:t>
      </w:r>
    </w:p>
    <w:p>
      <w:pPr>
        <w:pStyle w:val="Heading2"/>
      </w:pPr>
      <w:r>
        <w:t>Identity and the promise to the player</w:t>
      </w:r>
    </w:p>
    <w:p>
      <w:pPr/>
      <w:r>
        <w:t>The product name remains SUBSTELLAR. Its meaning joins what lies beneath with what lies among the stars. The established lines “Every world goes deeper” and “From the depths to the stars” describe the scope of the experience. Their practical consequence is that underground exploration must remain central after space travel arrives. A world with a distinctive sky and a shallow resource field would not fulfill that promise.</w:t>
      </w:r>
    </w:p>
    <w:p>
      <w:pPr/>
      <w:r>
        <w:t>The player should eventually be able to remember a journey by its places: the crossing they repaired, the bend in the flooded passage, the roof of the fungal station, the lift that finally worked, and the first window from which Earth looked small. Progression is expressed through these memories and through increased competence. Better equipment enables new decisions; established infrastructure makes earlier journeys easier; the player's knowledge makes a once intimidating region understandable.</w:t>
      </w:r>
    </w:p>
    <w:p>
      <w:pPr/>
      <w:r>
        <w:t>The adventure is intended for solo players and cooperative groups. It must support someone who enjoys careful expeditions, someone who wants to build a beautiful settlement, and someone who enjoys preparing machinery and supplies for friends. These roles should contribute to a shared journey without requiring every player to complete the same activity. Larger public-server scale remains a later product and engineering question.</w:t>
      </w:r>
    </w:p>
    <w:p>
      <w:pPr>
        <w:pStyle w:val="Heading2"/>
      </w:pPr>
      <w:r>
        <w:t>The foundation carried forward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79"/>
        <w:gridCol w:w="3240"/>
        <w:gridCol w:w="5774"/>
      </w:tblGrid>
      <w:tr>
        <w:trPr>
          <w:cantSplit/>
          <w:trHeight w:val="704" w:hRule="atLeast"/>
          <w:tblHeader w:val="true"/>
        </w:trPr>
        <w:tc>
          <w:tcPr>
            <w:tcW w:type="dxa" w:w="979"/>
            <w:vAlign w:val="center"/>
            <w:tcMar>
              <w:top w:w="85" w:type="dxa"/>
              <w:bottom w:w="85" w:type="dxa"/>
              <w:left w:w="95" w:type="dxa"/>
              <w:right w:w="95" w:type="dxa"/>
            </w:tcMar>
            <w:shd w:fill="233544"/>
          </w:tcPr>
          <w:p>
            <w:pPr>
              <w:pStyle w:val="TableText"/>
              <w:keepNext w:val="0"/>
              <w:keepLines/>
              <w:jc w:val="center"/>
            </w:pPr>
            <w:r>
              <w:rPr>
                <w:b/>
                <w:color w:val="FFFFFF"/>
                <w:sz w:val="20"/>
              </w:rPr>
              <w:t>Ref.</w:t>
            </w:r>
          </w:p>
        </w:tc>
        <w:tc>
          <w:tcPr>
            <w:tcW w:type="dxa" w:w="3240"/>
            <w:vAlign w:val="center"/>
            <w:tcMar>
              <w:top w:w="85" w:type="dxa"/>
              <w:bottom w:w="85" w:type="dxa"/>
              <w:left w:w="95" w:type="dxa"/>
              <w:right w:w="95" w:type="dxa"/>
            </w:tcMar>
            <w:shd w:fill="233544"/>
          </w:tcPr>
          <w:p>
            <w:pPr>
              <w:pStyle w:val="TableText"/>
              <w:keepNext w:val="0"/>
              <w:keepLines/>
            </w:pPr>
            <w:r>
              <w:rPr>
                <w:b/>
                <w:color w:val="FFFFFF"/>
                <w:sz w:val="20"/>
              </w:rPr>
              <w:t>Established direction</w:t>
            </w:r>
          </w:p>
        </w:tc>
        <w:tc>
          <w:tcPr>
            <w:tcW w:type="dxa" w:w="5774"/>
            <w:vAlign w:val="center"/>
            <w:tcMar>
              <w:top w:w="85" w:type="dxa"/>
              <w:bottom w:w="85" w:type="dxa"/>
              <w:left w:w="95" w:type="dxa"/>
              <w:right w:w="95" w:type="dxa"/>
            </w:tcMar>
            <w:shd w:fill="233544"/>
          </w:tcPr>
          <w:p>
            <w:pPr>
              <w:pStyle w:val="TableText"/>
              <w:keepNext w:val="0"/>
              <w:keepLines/>
            </w:pPr>
            <w:r>
              <w:rPr>
                <w:b/>
                <w:color w:val="FFFFFF"/>
                <w:sz w:val="20"/>
              </w:rPr>
              <w:t>Consequence for the full vision</w:t>
            </w:r>
          </w:p>
        </w:tc>
      </w:tr>
      <w:tr>
        <w:trPr>
          <w:cantSplit/>
        </w:trPr>
        <w:tc>
          <w:tcPr>
            <w:tcW w:type="dxa" w:w="979"/>
            <w:vAlign w:val="center"/>
            <w:tcMar>
              <w:top w:w="85" w:type="dxa"/>
              <w:bottom w:w="85" w:type="dxa"/>
              <w:left w:w="95" w:type="dxa"/>
              <w:right w:w="95" w:type="dxa"/>
            </w:tcMar>
            <w:shd w:fill="FFFFFF"/>
          </w:tcPr>
          <w:p>
            <w:pPr>
              <w:pStyle w:val="TableText"/>
              <w:keepNext w:val="0"/>
              <w:keepLines/>
              <w:jc w:val="center"/>
            </w:pPr>
            <w:r>
              <w:rPr>
                <w:sz w:val="20"/>
              </w:rPr>
              <w:t>CF01</w:t>
            </w:r>
          </w:p>
        </w:tc>
        <w:tc>
          <w:tcPr>
            <w:tcW w:type="dxa" w:w="3240"/>
            <w:vAlign w:val="center"/>
            <w:tcMar>
              <w:top w:w="85" w:type="dxa"/>
              <w:bottom w:w="85" w:type="dxa"/>
              <w:left w:w="95" w:type="dxa"/>
              <w:right w:w="95" w:type="dxa"/>
            </w:tcMar>
            <w:shd w:fill="FFFFFF"/>
          </w:tcPr>
          <w:p>
            <w:pPr>
              <w:pStyle w:val="TableText"/>
              <w:keepNext w:val="0"/>
              <w:keepLines/>
            </w:pPr>
            <w:r>
              <w:rPr>
                <w:sz w:val="20"/>
              </w:rPr>
              <w:t>Familiar surface and ordinary Minecraft building remain central.</w:t>
            </w:r>
          </w:p>
        </w:tc>
        <w:tc>
          <w:tcPr>
            <w:tcW w:type="dxa" w:w="5774"/>
            <w:vAlign w:val="center"/>
            <w:tcMar>
              <w:top w:w="85" w:type="dxa"/>
              <w:bottom w:w="85" w:type="dxa"/>
              <w:left w:w="95" w:type="dxa"/>
              <w:right w:w="95" w:type="dxa"/>
            </w:tcMar>
            <w:shd w:fill="FFFFFF"/>
          </w:tcPr>
          <w:p>
            <w:pPr>
              <w:pStyle w:val="TableText"/>
              <w:keepNext w:val="0"/>
              <w:keepLines/>
            </w:pPr>
            <w:r>
              <w:rPr>
                <w:sz w:val="20"/>
              </w:rPr>
              <w:t>The Overworld must support ordinary homes, farms, mountains, forests, and independent exploration.</w:t>
            </w:r>
          </w:p>
        </w:tc>
      </w:tr>
      <w:tr>
        <w:trPr>
          <w:cantSplit/>
        </w:trPr>
        <w:tc>
          <w:tcPr>
            <w:tcW w:type="dxa" w:w="979"/>
            <w:vAlign w:val="center"/>
            <w:tcMar>
              <w:top w:w="85" w:type="dxa"/>
              <w:bottom w:w="85" w:type="dxa"/>
              <w:left w:w="95" w:type="dxa"/>
              <w:right w:w="95" w:type="dxa"/>
            </w:tcMar>
            <w:shd w:fill="F3F5F6"/>
          </w:tcPr>
          <w:p>
            <w:pPr>
              <w:pStyle w:val="TableText"/>
              <w:keepNext w:val="0"/>
              <w:keepLines/>
              <w:jc w:val="center"/>
            </w:pPr>
            <w:r>
              <w:rPr>
                <w:sz w:val="20"/>
              </w:rPr>
              <w:t>CF02</w:t>
            </w:r>
          </w:p>
        </w:tc>
        <w:tc>
          <w:tcPr>
            <w:tcW w:type="dxa" w:w="3240"/>
            <w:vAlign w:val="center"/>
            <w:tcMar>
              <w:top w:w="85" w:type="dxa"/>
              <w:bottom w:w="85" w:type="dxa"/>
              <w:left w:w="95" w:type="dxa"/>
              <w:right w:w="95" w:type="dxa"/>
            </w:tcMar>
            <w:shd w:fill="F3F5F6"/>
          </w:tcPr>
          <w:p>
            <w:pPr>
              <w:pStyle w:val="TableText"/>
              <w:keepNext w:val="0"/>
              <w:keepLines/>
            </w:pPr>
            <w:r>
              <w:rPr>
                <w:sz w:val="20"/>
              </w:rPr>
              <w:t>The added vertical room belongs underground.</w:t>
            </w:r>
          </w:p>
        </w:tc>
        <w:tc>
          <w:tcPr>
            <w:tcW w:type="dxa" w:w="5774"/>
            <w:vAlign w:val="center"/>
            <w:tcMar>
              <w:top w:w="85" w:type="dxa"/>
              <w:bottom w:w="85" w:type="dxa"/>
              <w:left w:w="95" w:type="dxa"/>
              <w:right w:w="95" w:type="dxa"/>
            </w:tcMar>
            <w:shd w:fill="F3F5F6"/>
          </w:tcPr>
          <w:p>
            <w:pPr>
              <w:pStyle w:val="TableText"/>
              <w:keepNext w:val="0"/>
              <w:keepLines/>
            </w:pPr>
            <w:r>
              <w:rPr>
                <w:sz w:val="20"/>
              </w:rPr>
              <w:t>Surface improvements express environmental richness without silently raising the world ceiling or replacing the surface with a different game.</w:t>
            </w:r>
          </w:p>
        </w:tc>
      </w:tr>
      <w:tr>
        <w:trPr>
          <w:cantSplit/>
        </w:trPr>
        <w:tc>
          <w:tcPr>
            <w:tcW w:type="dxa" w:w="979"/>
            <w:vAlign w:val="center"/>
            <w:tcMar>
              <w:top w:w="85" w:type="dxa"/>
              <w:bottom w:w="85" w:type="dxa"/>
              <w:left w:w="95" w:type="dxa"/>
              <w:right w:w="95" w:type="dxa"/>
            </w:tcMar>
            <w:shd w:fill="FFFFFF"/>
          </w:tcPr>
          <w:p>
            <w:pPr>
              <w:pStyle w:val="TableText"/>
              <w:keepNext w:val="0"/>
              <w:keepLines/>
              <w:jc w:val="center"/>
            </w:pPr>
            <w:r>
              <w:rPr>
                <w:sz w:val="20"/>
              </w:rPr>
              <w:t>CF03</w:t>
            </w:r>
          </w:p>
        </w:tc>
        <w:tc>
          <w:tcPr>
            <w:tcW w:type="dxa" w:w="3240"/>
            <w:vAlign w:val="center"/>
            <w:tcMar>
              <w:top w:w="85" w:type="dxa"/>
              <w:bottom w:w="85" w:type="dxa"/>
              <w:left w:w="95" w:type="dxa"/>
              <w:right w:w="95" w:type="dxa"/>
            </w:tcMar>
            <w:shd w:fill="FFFFFF"/>
          </w:tcPr>
          <w:p>
            <w:pPr>
              <w:pStyle w:val="TableText"/>
              <w:keepNext w:val="0"/>
              <w:keepLines/>
            </w:pPr>
            <w:r>
              <w:rPr>
                <w:sz w:val="20"/>
              </w:rPr>
              <w:t>The handbook working default is 512 total block levels from Y minus 192 through 319.</w:t>
            </w:r>
          </w:p>
        </w:tc>
        <w:tc>
          <w:tcPr>
            <w:tcW w:type="dxa" w:w="5774"/>
            <w:vAlign w:val="center"/>
            <w:tcMar>
              <w:top w:w="85" w:type="dxa"/>
              <w:bottom w:w="85" w:type="dxa"/>
              <w:left w:w="95" w:type="dxa"/>
              <w:right w:w="95" w:type="dxa"/>
            </w:tcMar>
            <w:shd w:fill="FFFFFF"/>
          </w:tcPr>
          <w:p>
            <w:pPr>
              <w:pStyle w:val="TableText"/>
              <w:keepNext w:val="0"/>
              <w:keepLines/>
            </w:pPr>
            <w:r>
              <w:rPr>
                <w:sz w:val="20"/>
              </w:rPr>
              <w:t>Treat the seven named realms as a creative atlas, not seven equally thick floors already proven to fit.</w:t>
            </w:r>
          </w:p>
        </w:tc>
      </w:tr>
      <w:tr>
        <w:trPr>
          <w:cantSplit/>
        </w:trPr>
        <w:tc>
          <w:tcPr>
            <w:tcW w:type="dxa" w:w="979"/>
            <w:vAlign w:val="center"/>
            <w:tcMar>
              <w:top w:w="85" w:type="dxa"/>
              <w:bottom w:w="85" w:type="dxa"/>
              <w:left w:w="95" w:type="dxa"/>
              <w:right w:w="95" w:type="dxa"/>
            </w:tcMar>
            <w:shd w:fill="F3F5F6"/>
          </w:tcPr>
          <w:p>
            <w:pPr>
              <w:pStyle w:val="TableText"/>
              <w:keepNext w:val="0"/>
              <w:keepLines/>
              <w:jc w:val="center"/>
            </w:pPr>
            <w:r>
              <w:rPr>
                <w:sz w:val="20"/>
              </w:rPr>
              <w:t>CF04</w:t>
            </w:r>
          </w:p>
        </w:tc>
        <w:tc>
          <w:tcPr>
            <w:tcW w:type="dxa" w:w="3240"/>
            <w:vAlign w:val="center"/>
            <w:tcMar>
              <w:top w:w="85" w:type="dxa"/>
              <w:bottom w:w="85" w:type="dxa"/>
              <w:left w:w="95" w:type="dxa"/>
              <w:right w:w="95" w:type="dxa"/>
            </w:tcMar>
            <w:shd w:fill="F3F5F6"/>
          </w:tcPr>
          <w:p>
            <w:pPr>
              <w:pStyle w:val="TableText"/>
              <w:keepNext w:val="0"/>
              <w:keepLines/>
            </w:pPr>
            <w:r>
              <w:rPr>
                <w:sz w:val="20"/>
              </w:rPr>
              <w:t>Strata have recognizable identities and irregular overlapping transitions.</w:t>
            </w:r>
          </w:p>
        </w:tc>
        <w:tc>
          <w:tcPr>
            <w:tcW w:type="dxa" w:w="5774"/>
            <w:vAlign w:val="center"/>
            <w:tcMar>
              <w:top w:w="85" w:type="dxa"/>
              <w:bottom w:w="85" w:type="dxa"/>
              <w:left w:w="95" w:type="dxa"/>
              <w:right w:w="95" w:type="dxa"/>
            </w:tcMar>
            <w:shd w:fill="F3F5F6"/>
          </w:tcPr>
          <w:p>
            <w:pPr>
              <w:pStyle w:val="TableText"/>
              <w:keepNext w:val="0"/>
              <w:keepLines/>
            </w:pPr>
            <w:r>
              <w:rPr>
                <w:sz w:val="20"/>
              </w:rPr>
              <w:t>Climate, geology, cave form, water, and life change across regions rather than at universal horizontal walls.</w:t>
            </w:r>
          </w:p>
        </w:tc>
      </w:tr>
      <w:tr>
        <w:trPr>
          <w:cantSplit/>
        </w:trPr>
        <w:tc>
          <w:tcPr>
            <w:tcW w:type="dxa" w:w="979"/>
            <w:vAlign w:val="center"/>
            <w:tcMar>
              <w:top w:w="85" w:type="dxa"/>
              <w:bottom w:w="85" w:type="dxa"/>
              <w:left w:w="95" w:type="dxa"/>
              <w:right w:w="95" w:type="dxa"/>
            </w:tcMar>
            <w:shd w:fill="FFFFFF"/>
          </w:tcPr>
          <w:p>
            <w:pPr>
              <w:pStyle w:val="TableText"/>
              <w:keepNext w:val="0"/>
              <w:keepLines/>
              <w:jc w:val="center"/>
            </w:pPr>
            <w:r>
              <w:rPr>
                <w:sz w:val="20"/>
              </w:rPr>
              <w:t>CF05</w:t>
            </w:r>
          </w:p>
        </w:tc>
        <w:tc>
          <w:tcPr>
            <w:tcW w:type="dxa" w:w="3240"/>
            <w:vAlign w:val="center"/>
            <w:tcMar>
              <w:top w:w="85" w:type="dxa"/>
              <w:bottom w:w="85" w:type="dxa"/>
              <w:left w:w="95" w:type="dxa"/>
              <w:right w:w="95" w:type="dxa"/>
            </w:tcMar>
            <w:shd w:fill="FFFFFF"/>
          </w:tcPr>
          <w:p>
            <w:pPr>
              <w:pStyle w:val="TableText"/>
              <w:keepNext w:val="0"/>
              <w:keepLines/>
            </w:pPr>
            <w:r>
              <w:rPr>
                <w:sz w:val="20"/>
              </w:rPr>
              <w:t>Correct generation precedes new tools, hazards, crafting, and equipment progression.</w:t>
            </w:r>
          </w:p>
        </w:tc>
        <w:tc>
          <w:tcPr>
            <w:tcW w:type="dxa" w:w="5774"/>
            <w:vAlign w:val="center"/>
            <w:tcMar>
              <w:top w:w="85" w:type="dxa"/>
              <w:bottom w:w="85" w:type="dxa"/>
              <w:left w:w="95" w:type="dxa"/>
              <w:right w:w="95" w:type="dxa"/>
            </w:tcMar>
            <w:shd w:fill="FFFFFF"/>
          </w:tcPr>
          <w:p>
            <w:pPr>
              <w:pStyle w:val="TableText"/>
              <w:keepNext w:val="0"/>
              <w:keepLines/>
            </w:pPr>
            <w:r>
              <w:rPr>
                <w:sz w:val="20"/>
              </w:rPr>
              <w:t>Early terrain remains testable with simple equipment; later survival rules must improve a working landscape.</w:t>
            </w:r>
          </w:p>
        </w:tc>
      </w:tr>
      <w:tr>
        <w:trPr>
          <w:cantSplit/>
        </w:trPr>
        <w:tc>
          <w:tcPr>
            <w:tcW w:type="dxa" w:w="979"/>
            <w:vAlign w:val="center"/>
            <w:tcMar>
              <w:top w:w="85" w:type="dxa"/>
              <w:bottom w:w="85" w:type="dxa"/>
              <w:left w:w="95" w:type="dxa"/>
              <w:right w:w="95" w:type="dxa"/>
            </w:tcMar>
            <w:shd w:fill="F3F5F6"/>
          </w:tcPr>
          <w:p>
            <w:pPr>
              <w:pStyle w:val="TableText"/>
              <w:keepNext w:val="0"/>
              <w:keepLines/>
              <w:jc w:val="center"/>
            </w:pPr>
            <w:r>
              <w:rPr>
                <w:sz w:val="20"/>
              </w:rPr>
              <w:t>CF06</w:t>
            </w:r>
          </w:p>
        </w:tc>
        <w:tc>
          <w:tcPr>
            <w:tcW w:type="dxa" w:w="3240"/>
            <w:vAlign w:val="center"/>
            <w:tcMar>
              <w:top w:w="85" w:type="dxa"/>
              <w:bottom w:w="85" w:type="dxa"/>
              <w:left w:w="95" w:type="dxa"/>
              <w:right w:w="95" w:type="dxa"/>
            </w:tcMar>
            <w:shd w:fill="F3F5F6"/>
          </w:tcPr>
          <w:p>
            <w:pPr>
              <w:pStyle w:val="TableText"/>
              <w:keepNext w:val="0"/>
              <w:keepLines/>
            </w:pPr>
            <w:r>
              <w:rPr>
                <w:sz w:val="20"/>
              </w:rPr>
              <w:t>Project Vanilla becomes part of SUBSTELLAR.</w:t>
            </w:r>
          </w:p>
        </w:tc>
        <w:tc>
          <w:tcPr>
            <w:tcW w:type="dxa" w:w="5774"/>
            <w:vAlign w:val="center"/>
            <w:tcMar>
              <w:top w:w="85" w:type="dxa"/>
              <w:bottom w:w="85" w:type="dxa"/>
              <w:left w:w="95" w:type="dxa"/>
              <w:right w:w="95" w:type="dxa"/>
            </w:tcMar>
            <w:shd w:fill="F3F5F6"/>
          </w:tcPr>
          <w:p>
            <w:pPr>
              <w:pStyle w:val="TableText"/>
              <w:keepNext w:val="0"/>
              <w:keepLines/>
            </w:pPr>
            <w:r>
              <w:rPr>
                <w:sz w:val="20"/>
              </w:rPr>
              <w:t>Preserve Old Valley, the approved chapter sequence, useful settlements, guided adventures, and optional free building.</w:t>
            </w:r>
          </w:p>
        </w:tc>
      </w:tr>
      <w:tr>
        <w:trPr>
          <w:cantSplit/>
        </w:trPr>
        <w:tc>
          <w:tcPr>
            <w:tcW w:type="dxa" w:w="979"/>
            <w:vAlign w:val="center"/>
            <w:tcMar>
              <w:top w:w="85" w:type="dxa"/>
              <w:bottom w:w="85" w:type="dxa"/>
              <w:left w:w="95" w:type="dxa"/>
              <w:right w:w="95" w:type="dxa"/>
            </w:tcMar>
            <w:shd w:fill="FFFFFF"/>
          </w:tcPr>
          <w:p>
            <w:pPr>
              <w:pStyle w:val="TableText"/>
              <w:keepNext w:val="0"/>
              <w:keepLines/>
              <w:jc w:val="center"/>
            </w:pPr>
            <w:r>
              <w:rPr>
                <w:sz w:val="20"/>
              </w:rPr>
              <w:t>CF07</w:t>
            </w:r>
          </w:p>
        </w:tc>
        <w:tc>
          <w:tcPr>
            <w:tcW w:type="dxa" w:w="3240"/>
            <w:vAlign w:val="center"/>
            <w:tcMar>
              <w:top w:w="85" w:type="dxa"/>
              <w:bottom w:w="85" w:type="dxa"/>
              <w:left w:w="95" w:type="dxa"/>
              <w:right w:w="95" w:type="dxa"/>
            </w:tcMar>
            <w:shd w:fill="FFFFFF"/>
          </w:tcPr>
          <w:p>
            <w:pPr>
              <w:pStyle w:val="TableText"/>
              <w:keepNext w:val="0"/>
              <w:keepLines/>
            </w:pPr>
            <w:r>
              <w:rPr>
                <w:sz w:val="20"/>
              </w:rPr>
              <w:t>Interactive project blocks receive materials and trigger scripted construction.</w:t>
            </w:r>
          </w:p>
        </w:tc>
        <w:tc>
          <w:tcPr>
            <w:tcW w:type="dxa" w:w="5774"/>
            <w:vAlign w:val="center"/>
            <w:tcMar>
              <w:top w:w="85" w:type="dxa"/>
              <w:bottom w:w="85" w:type="dxa"/>
              <w:left w:w="95" w:type="dxa"/>
              <w:right w:w="95" w:type="dxa"/>
            </w:tcMar>
            <w:shd w:fill="FFFFFF"/>
          </w:tcPr>
          <w:p>
            <w:pPr>
              <w:pStyle w:val="TableText"/>
              <w:keepNext w:val="0"/>
              <w:keepLines/>
            </w:pPr>
            <w:r>
              <w:rPr>
                <w:sz w:val="20"/>
              </w:rPr>
              <w:t>Authored structures grow through understandable stages inside controlled plots.</w:t>
            </w:r>
          </w:p>
        </w:tc>
      </w:tr>
      <w:tr>
        <w:trPr>
          <w:cantSplit/>
        </w:trPr>
        <w:tc>
          <w:tcPr>
            <w:tcW w:type="dxa" w:w="979"/>
            <w:vAlign w:val="center"/>
            <w:tcMar>
              <w:top w:w="85" w:type="dxa"/>
              <w:bottom w:w="85" w:type="dxa"/>
              <w:left w:w="95" w:type="dxa"/>
              <w:right w:w="95" w:type="dxa"/>
            </w:tcMar>
            <w:shd w:fill="F3F5F6"/>
          </w:tcPr>
          <w:p>
            <w:pPr>
              <w:pStyle w:val="TableText"/>
              <w:keepNext w:val="0"/>
              <w:keepLines/>
              <w:jc w:val="center"/>
            </w:pPr>
            <w:r>
              <w:rPr>
                <w:sz w:val="20"/>
              </w:rPr>
              <w:t>CF08</w:t>
            </w:r>
          </w:p>
        </w:tc>
        <w:tc>
          <w:tcPr>
            <w:tcW w:type="dxa" w:w="3240"/>
            <w:vAlign w:val="center"/>
            <w:tcMar>
              <w:top w:w="85" w:type="dxa"/>
              <w:bottom w:w="85" w:type="dxa"/>
              <w:left w:w="95" w:type="dxa"/>
              <w:right w:w="95" w:type="dxa"/>
            </w:tcMar>
            <w:shd w:fill="F3F5F6"/>
          </w:tcPr>
          <w:p>
            <w:pPr>
              <w:pStyle w:val="TableText"/>
              <w:keepNext w:val="0"/>
              <w:keepLines/>
            </w:pPr>
            <w:r>
              <w:rPr>
                <w:sz w:val="20"/>
              </w:rPr>
              <w:t>Authored regional activity has explicit bounds and pauses when players leave.</w:t>
            </w:r>
          </w:p>
        </w:tc>
        <w:tc>
          <w:tcPr>
            <w:tcW w:type="dxa" w:w="5774"/>
            <w:vAlign w:val="center"/>
            <w:tcMar>
              <w:top w:w="85" w:type="dxa"/>
              <w:bottom w:w="85" w:type="dxa"/>
              <w:left w:w="95" w:type="dxa"/>
              <w:right w:w="95" w:type="dxa"/>
            </w:tcMar>
            <w:shd w:fill="F3F5F6"/>
          </w:tcPr>
          <w:p>
            <w:pPr>
              <w:pStyle w:val="TableText"/>
              <w:keepNext w:val="0"/>
              <w:keepLines/>
            </w:pPr>
            <w:r>
              <w:rPr>
                <w:sz w:val="20"/>
              </w:rPr>
              <w:t>Construction, visits, production, and chapter events must preserve their state without absence penalties.</w:t>
            </w:r>
          </w:p>
        </w:tc>
      </w:tr>
      <w:tr>
        <w:trPr>
          <w:cantSplit/>
        </w:trPr>
        <w:tc>
          <w:tcPr>
            <w:tcW w:type="dxa" w:w="979"/>
            <w:vAlign w:val="center"/>
            <w:tcMar>
              <w:top w:w="85" w:type="dxa"/>
              <w:bottom w:w="85" w:type="dxa"/>
              <w:left w:w="95" w:type="dxa"/>
              <w:right w:w="95" w:type="dxa"/>
            </w:tcMar>
            <w:shd w:fill="FFFFFF"/>
          </w:tcPr>
          <w:p>
            <w:pPr>
              <w:pStyle w:val="TableText"/>
              <w:keepNext w:val="0"/>
              <w:keepLines/>
              <w:jc w:val="center"/>
            </w:pPr>
            <w:r>
              <w:rPr>
                <w:sz w:val="20"/>
              </w:rPr>
              <w:t>CF09</w:t>
            </w:r>
          </w:p>
        </w:tc>
        <w:tc>
          <w:tcPr>
            <w:tcW w:type="dxa" w:w="3240"/>
            <w:vAlign w:val="center"/>
            <w:tcMar>
              <w:top w:w="85" w:type="dxa"/>
              <w:bottom w:w="85" w:type="dxa"/>
              <w:left w:w="95" w:type="dxa"/>
              <w:right w:w="95" w:type="dxa"/>
            </w:tcMar>
            <w:shd w:fill="FFFFFF"/>
          </w:tcPr>
          <w:p>
            <w:pPr>
              <w:pStyle w:val="TableText"/>
              <w:keepNext w:val="0"/>
              <w:keepLines/>
            </w:pPr>
            <w:r>
              <w:rPr>
                <w:sz w:val="20"/>
              </w:rPr>
              <w:t>Earth exploration enables a longer underground-to-space journey.</w:t>
            </w:r>
          </w:p>
        </w:tc>
        <w:tc>
          <w:tcPr>
            <w:tcW w:type="dxa" w:w="5774"/>
            <w:vAlign w:val="center"/>
            <w:tcMar>
              <w:top w:w="85" w:type="dxa"/>
              <w:bottom w:w="85" w:type="dxa"/>
              <w:left w:w="95" w:type="dxa"/>
              <w:right w:w="95" w:type="dxa"/>
            </w:tcMar>
            <w:shd w:fill="FFFFFF"/>
          </w:tcPr>
          <w:p>
            <w:pPr>
              <w:pStyle w:val="TableText"/>
              <w:keepNext w:val="0"/>
              <w:keepLines/>
            </w:pPr>
            <w:r>
              <w:rPr>
                <w:sz w:val="20"/>
              </w:rPr>
              <w:t>Rockets and planetary expeditions grow out of capabilities learned at home.</w:t>
            </w:r>
          </w:p>
        </w:tc>
      </w:tr>
      <w:tr>
        <w:trPr>
          <w:cantSplit/>
        </w:trPr>
        <w:tc>
          <w:tcPr>
            <w:tcW w:type="dxa" w:w="979"/>
            <w:vAlign w:val="center"/>
            <w:tcMar>
              <w:top w:w="85" w:type="dxa"/>
              <w:bottom w:w="85" w:type="dxa"/>
              <w:left w:w="95" w:type="dxa"/>
              <w:right w:w="95" w:type="dxa"/>
            </w:tcMar>
            <w:shd w:fill="F3F5F6"/>
          </w:tcPr>
          <w:p>
            <w:pPr>
              <w:pStyle w:val="TableText"/>
              <w:keepNext w:val="0"/>
              <w:keepLines/>
              <w:jc w:val="center"/>
            </w:pPr>
            <w:r>
              <w:rPr>
                <w:sz w:val="20"/>
              </w:rPr>
              <w:t>CF10</w:t>
            </w:r>
          </w:p>
        </w:tc>
        <w:tc>
          <w:tcPr>
            <w:tcW w:type="dxa" w:w="3240"/>
            <w:vAlign w:val="center"/>
            <w:tcMar>
              <w:top w:w="85" w:type="dxa"/>
              <w:bottom w:w="85" w:type="dxa"/>
              <w:left w:w="95" w:type="dxa"/>
              <w:right w:w="95" w:type="dxa"/>
            </w:tcMar>
            <w:shd w:fill="F3F5F6"/>
          </w:tcPr>
          <w:p>
            <w:pPr>
              <w:pStyle w:val="TableText"/>
              <w:keepNext w:val="0"/>
              <w:keepLines/>
            </w:pPr>
            <w:r>
              <w:rPr>
                <w:sz w:val="20"/>
              </w:rPr>
              <w:t>New worlds bring new underground adventures.</w:t>
            </w:r>
          </w:p>
        </w:tc>
        <w:tc>
          <w:tcPr>
            <w:tcW w:type="dxa" w:w="5774"/>
            <w:vAlign w:val="center"/>
            <w:tcMar>
              <w:top w:w="85" w:type="dxa"/>
              <w:bottom w:w="85" w:type="dxa"/>
              <w:left w:w="95" w:type="dxa"/>
              <w:right w:w="95" w:type="dxa"/>
            </w:tcMar>
            <w:shd w:fill="F3F5F6"/>
          </w:tcPr>
          <w:p>
            <w:pPr>
              <w:pStyle w:val="TableText"/>
              <w:keepNext w:val="0"/>
              <w:keepLines/>
            </w:pPr>
            <w:r>
              <w:rPr>
                <w:sz w:val="20"/>
              </w:rPr>
              <w:t>Planet design includes surface, subsurface, deep destinations, and a useful outpost.</w:t>
            </w:r>
          </w:p>
        </w:tc>
      </w:tr>
      <w:tr>
        <w:trPr>
          <w:cantSplit/>
        </w:trPr>
        <w:tc>
          <w:tcPr>
            <w:tcW w:type="dxa" w:w="979"/>
            <w:vAlign w:val="center"/>
            <w:tcMar>
              <w:top w:w="85" w:type="dxa"/>
              <w:bottom w:w="85" w:type="dxa"/>
              <w:left w:w="95" w:type="dxa"/>
              <w:right w:w="95" w:type="dxa"/>
            </w:tcMar>
            <w:shd w:fill="FFFFFF"/>
          </w:tcPr>
          <w:p>
            <w:pPr>
              <w:pStyle w:val="TableText"/>
              <w:keepNext w:val="0"/>
              <w:keepLines/>
              <w:jc w:val="center"/>
            </w:pPr>
            <w:r>
              <w:rPr>
                <w:sz w:val="20"/>
              </w:rPr>
              <w:t>CF11</w:t>
            </w:r>
          </w:p>
        </w:tc>
        <w:tc>
          <w:tcPr>
            <w:tcW w:type="dxa" w:w="3240"/>
            <w:vAlign w:val="center"/>
            <w:tcMar>
              <w:top w:w="85" w:type="dxa"/>
              <w:bottom w:w="85" w:type="dxa"/>
              <w:left w:w="95" w:type="dxa"/>
              <w:right w:w="95" w:type="dxa"/>
            </w:tcMar>
            <w:shd w:fill="FFFFFF"/>
          </w:tcPr>
          <w:p>
            <w:pPr>
              <w:pStyle w:val="TableText"/>
              <w:keepNext w:val="0"/>
              <w:keepLines/>
            </w:pPr>
            <w:r>
              <w:rPr>
                <w:sz w:val="20"/>
              </w:rPr>
              <w:t>The mod is standalone-first.</w:t>
            </w:r>
          </w:p>
        </w:tc>
        <w:tc>
          <w:tcPr>
            <w:tcW w:type="dxa" w:w="5774"/>
            <w:vAlign w:val="center"/>
            <w:tcMar>
              <w:top w:w="85" w:type="dxa"/>
              <w:bottom w:w="85" w:type="dxa"/>
              <w:left w:w="95" w:type="dxa"/>
              <w:right w:w="95" w:type="dxa"/>
            </w:tcMar>
            <w:shd w:fill="FFFFFF"/>
          </w:tcPr>
          <w:p>
            <w:pPr>
              <w:pStyle w:val="TableText"/>
              <w:keepNext w:val="0"/>
              <w:keepLines/>
            </w:pPr>
            <w:r>
              <w:rPr>
                <w:sz w:val="20"/>
              </w:rPr>
              <w:t>The core experience must make sense without mandatory gameplay-mod integrations.</w:t>
            </w:r>
          </w:p>
        </w:tc>
      </w:tr>
      <w:tr>
        <w:trPr>
          <w:cantSplit/>
        </w:trPr>
        <w:tc>
          <w:tcPr>
            <w:tcW w:type="dxa" w:w="979"/>
            <w:vAlign w:val="center"/>
            <w:tcMar>
              <w:top w:w="85" w:type="dxa"/>
              <w:bottom w:w="85" w:type="dxa"/>
              <w:left w:w="95" w:type="dxa"/>
              <w:right w:w="95" w:type="dxa"/>
            </w:tcMar>
            <w:shd w:fill="F3F5F6"/>
          </w:tcPr>
          <w:p>
            <w:pPr>
              <w:pStyle w:val="TableText"/>
              <w:keepNext w:val="0"/>
              <w:keepLines/>
              <w:jc w:val="center"/>
            </w:pPr>
            <w:r>
              <w:rPr>
                <w:sz w:val="20"/>
              </w:rPr>
              <w:t>CF12</w:t>
            </w:r>
          </w:p>
        </w:tc>
        <w:tc>
          <w:tcPr>
            <w:tcW w:type="dxa" w:w="3240"/>
            <w:vAlign w:val="center"/>
            <w:tcMar>
              <w:top w:w="85" w:type="dxa"/>
              <w:bottom w:w="85" w:type="dxa"/>
              <w:left w:w="95" w:type="dxa"/>
              <w:right w:w="95" w:type="dxa"/>
            </w:tcMar>
            <w:shd w:fill="F3F5F6"/>
          </w:tcPr>
          <w:p>
            <w:pPr>
              <w:pStyle w:val="TableText"/>
              <w:keepNext w:val="0"/>
              <w:keepLines/>
            </w:pPr>
            <w:r>
              <w:rPr>
                <w:sz w:val="20"/>
              </w:rPr>
              <w:t>The desired visual character includes rich blue water, visible underwater growth, expressive trees, warm sunlight, and strong depth.</w:t>
            </w:r>
          </w:p>
        </w:tc>
        <w:tc>
          <w:tcPr>
            <w:tcW w:type="dxa" w:w="5774"/>
            <w:vAlign w:val="center"/>
            <w:tcMar>
              <w:top w:w="85" w:type="dxa"/>
              <w:bottom w:w="85" w:type="dxa"/>
              <w:left w:w="95" w:type="dxa"/>
              <w:right w:w="95" w:type="dxa"/>
            </w:tcMar>
            <w:shd w:fill="F3F5F6"/>
          </w:tcPr>
          <w:p>
            <w:pPr>
              <w:pStyle w:val="TableText"/>
              <w:keepNext w:val="0"/>
              <w:keepLines/>
            </w:pPr>
            <w:r>
              <w:rPr>
                <w:sz w:val="20"/>
              </w:rPr>
              <w:t>Separate lighting and shader presentation from the actual shapes, materials, and vegetation the world must generate.</w:t>
            </w:r>
          </w:p>
        </w:tc>
      </w:tr>
    </w:tbl>
    <w:p>
      <w:pPr>
        <w:spacing w:after="0" w:before="0" w:line="60" w:lineRule="exact"/>
      </w:pPr>
      <w:r>
        <w:rPr>
          <w:sz w:val="6"/>
        </w:rPr>
      </w:r>
    </w:p>
    <w:p>
      <w:pPr/>
      <w:r>
        <w:t>The development handbook is the source for CF01 through CF05 and CF11. The integrated Project Vanilla direction and the SUBSTELLAR brochure establish the settlement and journey principles. These are design records, not a report of the current implementation. Source details appear at the end of this document.</w:t>
      </w:r>
    </w:p>
    <w:p>
      <w:pPr>
        <w:pStyle w:val="Heading2"/>
      </w:pPr>
      <w:r>
        <w:t>The feelings the game should create</w:t>
      </w:r>
    </w:p>
    <w:p>
      <w:pPr/>
      <w:r>
        <w:t>Home should feel useful, warm, and personal. A guesthouse lamp, a working mill, a bed beside a carefully arranged window, and an NPC who now has a reason to visit make the surface emotionally important. The first hours need enough quiet that later danger feels like a deliberate expedition from somewhere familiar.</w:t>
      </w:r>
    </w:p>
    <w:p>
      <w:pPr/>
      <w:r>
        <w:t>Descent should move through anticipation, discovery, uncertainty, and understanding. A player's first glimpse of a giant chamber can be overwhelming. Their third visit should reveal a workable geography: a safe ledge, a source of timber, a defensible landing, and a possible transport route. The design should let knowledge change the emotional character of the same place.</w:t>
      </w:r>
    </w:p>
    <w:p>
      <w:pPr/>
      <w:r>
        <w:t>Danger should encourage preparation and improvisation. Heat, flooded routes, exposed crossings, unfamiliar creatures, and limited supplies create different kinds of pressure. Every serious threat needs a signal and a response the player can learn. The difficulty comes from choosing a route or managing a situation, rather than memorizing invisible rules that kill an uninformed explorer.</w:t>
      </w:r>
    </w:p>
    <w:p>
      <w:pPr/>
      <w:r>
        <w:t>Wonder should survive familiarity. Regions need broad silhouettes and major landmarks, but also small observations: roots following moisture, a mineral seam that bends around an old fracture, discarded equipment near a failed crossing, or a quiet window overlooking an underground lake. These details establish that places have relationships and histories beyond the immediate objective.</w:t>
      </w:r>
    </w:p>
    <w:p>
      <w:pPr/>
      <w:r>
        <w:t>Space should first feel remote and fragile. On Earth, help and food may be a long walk away. On the Moon, the cabin is the only familiar room under an unfamiliar sky. Later destinations can become more capable homes, but the first landing should preserve that change in scale. Returning with a modest scientific sample can be an important event before interplanetary industry exists.</w:t>
      </w:r>
    </w:p>
    <w:p>
      <w:pPr/>
      <w:r>
        <w:t>The overall tone is adventurous, grounded in readable materials and practical activity, and increasingly strange with depth and distance. Some regions can be frightening through darkness, scale, isolation, or sound. The default direction avoids gore and constant horror. Quiet beauty, productive work, and humor in ordinary settlement life must remain present throughout the journey.</w:t>
      </w:r>
    </w:p>
    <w:p>
      <w:pPr>
        <w:pStyle w:val="Heading2"/>
      </w:pPr>
      <w:r>
        <w:t>The core activity cycle</w:t>
      </w:r>
    </w:p>
    <w:p>
      <w:pPr/>
      <w:r>
        <w:t>A complete expedition begins before the player leaves. They choose a question or goal, look at what is known of the route, prepare equipment, and decide what they can carry home. At the destination they read the landscape, solve a traversal or environmental problem, discover something useful, and make a judgment about whether to continue. The return journey turns discovery into lasting change through construction, research, cultivation, or a new route.</w:t>
      </w:r>
    </w:p>
    <w:p>
      <w:pPr/>
      <w:r>
        <w:t>The cycle should accommodate different lengths. A short trip might collect clay for the guesthouse roof or record a newly exposed passage. A larger expedition might establish a Deepwilds field station. A major chapter might restore an Abyss crossing or bring a lunar survey home. Each length needs a satisfying stopping point and a clear sense of what was achieved.</w:t>
      </w:r>
    </w:p>
    <w:p>
      <w:pPr/>
      <w:r>
        <w:t>Local convenience grows with investment. A rope line shortens an awkward climb. A marked route reduces navigation effort. A lift carries supplies. A settlement service prepares repeated equipment orders. A surveyed and secured space route can eventually support routine travel. Investment should convert repeated preparation into easier maintenance while leaving unfamiliar regions interesting.</w:t>
      </w:r>
    </w:p>
    <w:p>
      <w:pPr/>
      <w:r>
        <w:t>The game should often offer a choice between carrying resources and carrying opportunity. A player might leave ore behind to transport a fragile seed pod, a rescued survey instrument, or a component for an outpost. This works only when inventory burdens remain understandable. New materials should justify their slots through distinct uses, and routine supplies should be easy to replenish at established bases.</w:t>
      </w:r>
    </w:p>
    <w:p>
      <w:pPr>
        <w:pStyle w:val="Heading2"/>
      </w:pPr>
      <w:r>
        <w:t>Guidance and freedom</w:t>
      </w:r>
    </w:p>
    <w:p>
      <w:pPr/>
      <w:r>
        <w:t>The guided adventure supplies authored situations, characters with useful roles, reliable chapter structure, and places prepared for memorable changes. It should answer the player's question of what might be interesting to do next. The surrounding sandbox supports free building, unstructured exploration, and self-directed goals.</w:t>
      </w:r>
    </w:p>
    <w:p>
      <w:pPr/>
      <w:r>
        <w:t>Chapter order describes a narrative path; geography does not need to lock every side passage until the story permits it. A well-equipped player can discover a place early. The game records the discovery and explains which functions still need preparation. Required capabilities should appear as physical needs such as a sealed cabin, a usable crossing, or sufficient load support. An unexplained quest flag should rarely be the only obstacle.</w:t>
      </w:r>
    </w:p>
    <w:p>
      <w:pPr/>
      <w:r>
        <w:t>A player who supplies an authored building gets the reliability and visual composition of the designed structure. A player who builds independently keeps ownership of their creation. A proposed later commissioning system can recognize supported generic services such as shelter, cultivation, or an approved workshop function in a free-built structure. Its check examines a visible bounded area. Physical usefulness, civic-service recognition, and narrative completion are separate facts: the five Old Valley projects retain their authored completion requirements unless a chapter explicitly supports a commissioned alternative. A beautiful cabin can function as personal shelter without resembling the guesthouse or automatically completing its chapter.</w:t>
      </w:r>
    </w:p>
    <w:p>
      <w:pPr/>
      <w:r>
        <w:t>The narrative must tolerate interruption. A player can spend a week decorating a workshop, build a fortress elsewhere, or leave an active region. The next chapter remains available when they return. The world's authored activities operate within the pause rules described in the settlement chapters, and departures do not quietly erase opportunities.</w:t>
      </w:r>
    </w:p>
    <w:p>
      <w:pPr>
        <w:pStyle w:val="Heading2"/>
      </w:pPr>
      <w:r>
        <w:t>The boundary between game fiction and physical realism</w:t>
      </w:r>
    </w:p>
    <w:p>
      <w:pPr/>
      <w:r>
        <w:t>Real geological and astronomical ideas provide shapes, materials, and questions that can inspire the game. The underground ecosystems, compact strata, survival envelopes, and advanced resources in this document are fictional design. Their properties are defined by how the game communicates and uses them. No claim of geological depth, biological plausibility, flight physics, or resource availability should be inferred from a concept profile.</w:t>
      </w:r>
    </w:p>
    <w:p>
      <w:pPr/>
      <w:r>
        <w:t>Mantle and Core remain established progression names. Within the proposed playable Overworld, they describe extreme deep environments and the central Heart region of the adventure. A descent of a few hundred blocks is not a simulation of reaching the literal center of Earth. Art and dialogue should preserve the names while making the scale of the fiction consistent.</w:t>
      </w:r>
    </w:p>
    <w:p>
      <w:pPr/>
      <w:r>
        <w:t>Later planets borrow recognizable identities from the Solar System, while the proposed secret system deliberately allows greater invention. Familiar materials and engineering language anchor this progression. Extraordinary substances should have a small number of clear game properties; a mystery becomes less interesting if it is a universal explanation for power, flight, healing, and every lock in the world.</w:t>
      </w:r>
    </w:p>
    <w:p>
      <w:bookmarkStart w:id="2" w:name="chapter_02"/>
      <w:pPr>
        <w:pStyle w:val="Heading1"/>
      </w:pPr>
      <w:r>
        <w:t>The complete player journey</w:t>
      </w:r>
      <w:bookmarkEnd w:id="2"/>
    </w:p>
    <w:p>
      <w:pPr>
        <w:pStyle w:val="Heading2"/>
      </w:pPr>
      <w:r>
        <w:t>The long arc</w:t>
      </w:r>
    </w:p>
    <w:p>
      <w:pPr/>
      <w:r>
        <w:t>The established chapter families are First Descent, Pale Horizon, Red Frontier, Outer Worlds, and Beyond Sol. They describe the expanding experience, not release dates. First Descent contains Old Valley and the long Earth adventure. Pale Horizon covers orbital preparation and the Moon. Red Frontier establishes independent interplanetary expeditions. Outer Worlds explores very different environments and more capable outposts. Beyond Sol opens the secret-system horizon.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98"/>
        <w:gridCol w:w="3298"/>
        <w:gridCol w:w="4197"/>
      </w:tblGrid>
      <w:tr>
        <w:trPr>
          <w:cantSplit/>
          <w:tblHeader w:val="true"/>
        </w:trPr>
        <w:tc>
          <w:tcPr>
            <w:tcW w:type="dxa" w:w="2498"/>
            <w:vAlign w:val="center"/>
            <w:tcMar>
              <w:top w:w="85" w:type="dxa"/>
              <w:bottom w:w="85" w:type="dxa"/>
              <w:left w:w="95" w:type="dxa"/>
              <w:right w:w="95" w:type="dxa"/>
            </w:tcMar>
            <w:shd w:fill="233544"/>
          </w:tcPr>
          <w:p>
            <w:pPr>
              <w:pStyle w:val="TableText"/>
              <w:keepNext w:val="0"/>
              <w:keepLines/>
              <w:jc w:val="center"/>
            </w:pPr>
            <w:r>
              <w:rPr>
                <w:b/>
                <w:color w:val="FFFFFF"/>
                <w:sz w:val="20"/>
              </w:rPr>
              <w:t>Journey family</w:t>
            </w:r>
          </w:p>
        </w:tc>
        <w:tc>
          <w:tcPr>
            <w:tcW w:type="dxa" w:w="3298"/>
            <w:vAlign w:val="center"/>
            <w:tcMar>
              <w:top w:w="85" w:type="dxa"/>
              <w:bottom w:w="85" w:type="dxa"/>
              <w:left w:w="95" w:type="dxa"/>
              <w:right w:w="95" w:type="dxa"/>
            </w:tcMar>
            <w:shd w:fill="233544"/>
          </w:tcPr>
          <w:p>
            <w:pPr>
              <w:pStyle w:val="TableText"/>
              <w:keepNext w:val="0"/>
              <w:keepLines/>
            </w:pPr>
            <w:r>
              <w:rPr>
                <w:b/>
                <w:color w:val="FFFFFF"/>
                <w:sz w:val="20"/>
              </w:rPr>
              <w:t>The player's central question</w:t>
            </w:r>
          </w:p>
        </w:tc>
        <w:tc>
          <w:tcPr>
            <w:tcW w:type="dxa" w:w="4197"/>
            <w:vAlign w:val="center"/>
            <w:tcMar>
              <w:top w:w="85" w:type="dxa"/>
              <w:bottom w:w="85" w:type="dxa"/>
              <w:left w:w="95" w:type="dxa"/>
              <w:right w:w="95" w:type="dxa"/>
            </w:tcMar>
            <w:shd w:fill="233544"/>
          </w:tcPr>
          <w:p>
            <w:pPr>
              <w:pStyle w:val="TableText"/>
              <w:keepNext w:val="0"/>
              <w:keepLines/>
            </w:pPr>
            <w:r>
              <w:rPr>
                <w:b/>
                <w:color w:val="FFFFFF"/>
                <w:sz w:val="20"/>
              </w:rPr>
              <w:t>Lasting change</w:t>
            </w:r>
          </w:p>
        </w:tc>
      </w:tr>
      <w:tr>
        <w:trPr>
          <w:cantSplit/>
        </w:trPr>
        <w:tc>
          <w:tcPr>
            <w:tcW w:type="dxa" w:w="2498"/>
            <w:vAlign w:val="center"/>
            <w:tcMar>
              <w:top w:w="85" w:type="dxa"/>
              <w:bottom w:w="85" w:type="dxa"/>
              <w:left w:w="95" w:type="dxa"/>
              <w:right w:w="95" w:type="dxa"/>
            </w:tcMar>
            <w:shd w:fill="FFFFFF"/>
          </w:tcPr>
          <w:p>
            <w:pPr>
              <w:pStyle w:val="TableText"/>
              <w:keepNext w:val="0"/>
              <w:keepLines/>
              <w:jc w:val="center"/>
            </w:pPr>
            <w:r>
              <w:rPr>
                <w:sz w:val="20"/>
              </w:rPr>
              <w:t>First Descent</w:t>
            </w:r>
          </w:p>
        </w:tc>
        <w:tc>
          <w:tcPr>
            <w:tcW w:type="dxa" w:w="3298"/>
            <w:vAlign w:val="center"/>
            <w:tcMar>
              <w:top w:w="85" w:type="dxa"/>
              <w:bottom w:w="85" w:type="dxa"/>
              <w:left w:w="95" w:type="dxa"/>
              <w:right w:w="95" w:type="dxa"/>
            </w:tcMar>
            <w:shd w:fill="FFFFFF"/>
          </w:tcPr>
          <w:p>
            <w:pPr>
              <w:pStyle w:val="TableText"/>
              <w:keepNext w:val="0"/>
              <w:keepLines/>
            </w:pPr>
            <w:r>
              <w:rPr>
                <w:sz w:val="20"/>
              </w:rPr>
              <w:t>What lies beneath home, and how can we make the journey practical?</w:t>
            </w:r>
          </w:p>
        </w:tc>
        <w:tc>
          <w:tcPr>
            <w:tcW w:type="dxa" w:w="4197"/>
            <w:vAlign w:val="center"/>
            <w:tcMar>
              <w:top w:w="85" w:type="dxa"/>
              <w:bottom w:w="85" w:type="dxa"/>
              <w:left w:w="95" w:type="dxa"/>
              <w:right w:w="95" w:type="dxa"/>
            </w:tcMar>
            <w:shd w:fill="FFFFFF"/>
          </w:tcPr>
          <w:p>
            <w:pPr>
              <w:pStyle w:val="TableText"/>
              <w:keepNext w:val="0"/>
              <w:keepLines/>
            </w:pPr>
            <w:r>
              <w:rPr>
                <w:sz w:val="20"/>
              </w:rPr>
              <w:t>A working settlement, known underground routes, deep materials, and a launch capability.</w:t>
            </w:r>
          </w:p>
        </w:tc>
      </w:tr>
      <w:tr>
        <w:trPr>
          <w:cantSplit/>
        </w:trPr>
        <w:tc>
          <w:tcPr>
            <w:tcW w:type="dxa" w:w="2498"/>
            <w:vAlign w:val="center"/>
            <w:tcMar>
              <w:top w:w="85" w:type="dxa"/>
              <w:bottom w:w="85" w:type="dxa"/>
              <w:left w:w="95" w:type="dxa"/>
              <w:right w:w="95" w:type="dxa"/>
            </w:tcMar>
            <w:shd w:fill="F3F5F6"/>
          </w:tcPr>
          <w:p>
            <w:pPr>
              <w:pStyle w:val="TableText"/>
              <w:keepNext w:val="0"/>
              <w:keepLines/>
              <w:jc w:val="center"/>
            </w:pPr>
            <w:r>
              <w:rPr>
                <w:sz w:val="20"/>
              </w:rPr>
              <w:t>Pale Horizon</w:t>
            </w:r>
          </w:p>
        </w:tc>
        <w:tc>
          <w:tcPr>
            <w:tcW w:type="dxa" w:w="3298"/>
            <w:vAlign w:val="center"/>
            <w:tcMar>
              <w:top w:w="85" w:type="dxa"/>
              <w:bottom w:w="85" w:type="dxa"/>
              <w:left w:w="95" w:type="dxa"/>
              <w:right w:w="95" w:type="dxa"/>
            </w:tcMar>
            <w:shd w:fill="F3F5F6"/>
          </w:tcPr>
          <w:p>
            <w:pPr>
              <w:pStyle w:val="TableText"/>
              <w:keepNext w:val="0"/>
              <w:keepLines/>
            </w:pPr>
            <w:r>
              <w:rPr>
                <w:sz w:val="20"/>
              </w:rPr>
              <w:t>Can we leave Earth, explore, and return safely?</w:t>
            </w:r>
          </w:p>
        </w:tc>
        <w:tc>
          <w:tcPr>
            <w:tcW w:type="dxa" w:w="4197"/>
            <w:vAlign w:val="center"/>
            <w:tcMar>
              <w:top w:w="85" w:type="dxa"/>
              <w:bottom w:w="85" w:type="dxa"/>
              <w:left w:w="95" w:type="dxa"/>
              <w:right w:w="95" w:type="dxa"/>
            </w:tcMar>
            <w:shd w:fill="F3F5F6"/>
          </w:tcPr>
          <w:p>
            <w:pPr>
              <w:pStyle w:val="TableText"/>
              <w:keepNext w:val="0"/>
              <w:keepLines/>
            </w:pPr>
            <w:r>
              <w:rPr>
                <w:sz w:val="20"/>
              </w:rPr>
              <w:t>A trusted spacecraft, a lunar foothold, and the first evidence brought home from another world.</w:t>
            </w:r>
          </w:p>
        </w:tc>
      </w:tr>
      <w:tr>
        <w:trPr>
          <w:cantSplit/>
        </w:trPr>
        <w:tc>
          <w:tcPr>
            <w:tcW w:type="dxa" w:w="2498"/>
            <w:vAlign w:val="center"/>
            <w:tcMar>
              <w:top w:w="85" w:type="dxa"/>
              <w:bottom w:w="85" w:type="dxa"/>
              <w:left w:w="95" w:type="dxa"/>
              <w:right w:w="95" w:type="dxa"/>
            </w:tcMar>
            <w:shd w:fill="FFFFFF"/>
          </w:tcPr>
          <w:p>
            <w:pPr>
              <w:pStyle w:val="TableText"/>
              <w:keepNext w:val="0"/>
              <w:keepLines/>
              <w:jc w:val="center"/>
            </w:pPr>
            <w:r>
              <w:rPr>
                <w:sz w:val="20"/>
              </w:rPr>
              <w:t>Red Frontier</w:t>
            </w:r>
          </w:p>
        </w:tc>
        <w:tc>
          <w:tcPr>
            <w:tcW w:type="dxa" w:w="3298"/>
            <w:vAlign w:val="center"/>
            <w:tcMar>
              <w:top w:w="85" w:type="dxa"/>
              <w:bottom w:w="85" w:type="dxa"/>
              <w:left w:w="95" w:type="dxa"/>
              <w:right w:w="95" w:type="dxa"/>
            </w:tcMar>
            <w:shd w:fill="FFFFFF"/>
          </w:tcPr>
          <w:p>
            <w:pPr>
              <w:pStyle w:val="TableText"/>
              <w:keepNext w:val="0"/>
              <w:keepLines/>
            </w:pPr>
            <w:r>
              <w:rPr>
                <w:sz w:val="20"/>
              </w:rPr>
              <w:t>Can we work beyond the reach of a simple lunar mission?</w:t>
            </w:r>
          </w:p>
        </w:tc>
        <w:tc>
          <w:tcPr>
            <w:tcW w:type="dxa" w:w="4197"/>
            <w:vAlign w:val="center"/>
            <w:tcMar>
              <w:top w:w="85" w:type="dxa"/>
              <w:bottom w:w="85" w:type="dxa"/>
              <w:left w:w="95" w:type="dxa"/>
              <w:right w:w="95" w:type="dxa"/>
            </w:tcMar>
            <w:shd w:fill="FFFFFF"/>
          </w:tcPr>
          <w:p>
            <w:pPr>
              <w:pStyle w:val="TableText"/>
              <w:keepNext w:val="0"/>
              <w:keepLines/>
            </w:pPr>
            <w:r>
              <w:rPr>
                <w:sz w:val="20"/>
              </w:rPr>
              <w:t>A more independent expedition vessel and an outpost able to support extended journeys.</w:t>
            </w:r>
          </w:p>
        </w:tc>
      </w:tr>
      <w:tr>
        <w:trPr>
          <w:cantSplit/>
        </w:trPr>
        <w:tc>
          <w:tcPr>
            <w:tcW w:type="dxa" w:w="2498"/>
            <w:vAlign w:val="center"/>
            <w:tcMar>
              <w:top w:w="85" w:type="dxa"/>
              <w:bottom w:w="85" w:type="dxa"/>
              <w:left w:w="95" w:type="dxa"/>
              <w:right w:w="95" w:type="dxa"/>
            </w:tcMar>
            <w:shd w:fill="F3F5F6"/>
          </w:tcPr>
          <w:p>
            <w:pPr>
              <w:pStyle w:val="TableText"/>
              <w:keepNext w:val="0"/>
              <w:keepLines/>
              <w:jc w:val="center"/>
            </w:pPr>
            <w:r>
              <w:rPr>
                <w:sz w:val="20"/>
              </w:rPr>
              <w:t>Outer Worlds</w:t>
            </w:r>
          </w:p>
        </w:tc>
        <w:tc>
          <w:tcPr>
            <w:tcW w:type="dxa" w:w="3298"/>
            <w:vAlign w:val="center"/>
            <w:tcMar>
              <w:top w:w="85" w:type="dxa"/>
              <w:bottom w:w="85" w:type="dxa"/>
              <w:left w:w="95" w:type="dxa"/>
              <w:right w:w="95" w:type="dxa"/>
            </w:tcMar>
            <w:shd w:fill="F3F5F6"/>
          </w:tcPr>
          <w:p>
            <w:pPr>
              <w:pStyle w:val="TableText"/>
              <w:keepNext w:val="0"/>
              <w:keepLines/>
            </w:pPr>
            <w:r>
              <w:rPr>
                <w:sz w:val="20"/>
              </w:rPr>
              <w:t>How does exploration change when each destination imposes different rules?</w:t>
            </w:r>
          </w:p>
        </w:tc>
        <w:tc>
          <w:tcPr>
            <w:tcW w:type="dxa" w:w="4197"/>
            <w:vAlign w:val="center"/>
            <w:tcMar>
              <w:top w:w="85" w:type="dxa"/>
              <w:bottom w:w="85" w:type="dxa"/>
              <w:left w:w="95" w:type="dxa"/>
              <w:right w:w="95" w:type="dxa"/>
            </w:tcMar>
            <w:shd w:fill="F3F5F6"/>
          </w:tcPr>
          <w:p>
            <w:pPr>
              <w:pStyle w:val="TableText"/>
              <w:keepNext w:val="0"/>
              <w:keepLines/>
            </w:pPr>
            <w:r>
              <w:rPr>
                <w:sz w:val="20"/>
              </w:rPr>
              <w:t>Specialized equipment, a network of homes, and knowledge that combines across worlds.</w:t>
            </w:r>
          </w:p>
        </w:tc>
      </w:tr>
      <w:tr>
        <w:trPr>
          <w:cantSplit/>
        </w:trPr>
        <w:tc>
          <w:tcPr>
            <w:tcW w:type="dxa" w:w="2498"/>
            <w:vAlign w:val="center"/>
            <w:tcMar>
              <w:top w:w="85" w:type="dxa"/>
              <w:bottom w:w="85" w:type="dxa"/>
              <w:left w:w="95" w:type="dxa"/>
              <w:right w:w="95" w:type="dxa"/>
            </w:tcMar>
            <w:shd w:fill="FFFFFF"/>
          </w:tcPr>
          <w:p>
            <w:pPr>
              <w:pStyle w:val="TableText"/>
              <w:keepNext w:val="0"/>
              <w:keepLines/>
              <w:jc w:val="center"/>
            </w:pPr>
            <w:r>
              <w:rPr>
                <w:sz w:val="20"/>
              </w:rPr>
              <w:t>Beyond Sol</w:t>
            </w:r>
          </w:p>
        </w:tc>
        <w:tc>
          <w:tcPr>
            <w:tcW w:type="dxa" w:w="3298"/>
            <w:vAlign w:val="center"/>
            <w:tcMar>
              <w:top w:w="85" w:type="dxa"/>
              <w:bottom w:w="85" w:type="dxa"/>
              <w:left w:w="95" w:type="dxa"/>
              <w:right w:w="95" w:type="dxa"/>
            </w:tcMar>
            <w:shd w:fill="FFFFFF"/>
          </w:tcPr>
          <w:p>
            <w:pPr>
              <w:pStyle w:val="TableText"/>
              <w:keepNext w:val="0"/>
              <w:keepLines/>
            </w:pPr>
            <w:r>
              <w:rPr>
                <w:sz w:val="20"/>
              </w:rPr>
              <w:t>What can we learn somewhere the old maps do not describe?</w:t>
            </w:r>
          </w:p>
        </w:tc>
        <w:tc>
          <w:tcPr>
            <w:tcW w:type="dxa" w:w="4197"/>
            <w:vAlign w:val="center"/>
            <w:tcMar>
              <w:top w:w="85" w:type="dxa"/>
              <w:bottom w:w="85" w:type="dxa"/>
              <w:left w:w="95" w:type="dxa"/>
              <w:right w:w="95" w:type="dxa"/>
            </w:tcMar>
            <w:shd w:fill="FFFFFF"/>
          </w:tcPr>
          <w:p>
            <w:pPr>
              <w:pStyle w:val="TableText"/>
              <w:keepNext w:val="0"/>
              <w:keepLines/>
            </w:pPr>
            <w:r>
              <w:rPr>
                <w:sz w:val="20"/>
              </w:rPr>
              <w:t>A new exploratory horizon and a reason to reinterpret discoveries from the whole journey.</w:t>
            </w:r>
          </w:p>
        </w:tc>
      </w:tr>
    </w:tbl>
    <w:p>
      <w:pPr>
        <w:spacing w:after="0" w:before="0" w:line="60" w:lineRule="exact"/>
      </w:pPr>
      <w:r>
        <w:rPr>
          <w:sz w:val="6"/>
        </w:rPr>
      </w:r>
    </w:p>
    <w:p>
      <w:pPr>
        <w:pStyle w:val="Heading2"/>
      </w:pPr>
      <w:r>
        <w:t>A proposed first evening</w:t>
      </w:r>
    </w:p>
    <w:p>
      <w:pPr/>
      <w:r>
        <w:t>The player arrives near Old Valley with ordinary survival needs and an immediate practical invitation. There is shelter to restore, a nearby landscape to learn, and a crossing that suggests a future route. The opening should demonstrate at least one satisfying piece of gathering, one visible construction change, and one independent discovery without demanding a large tutorial checklist.</w:t>
      </w:r>
    </w:p>
    <w:p>
      <w:pPr/>
      <w:r>
        <w:t>The quarry should become a place the player can recognize from above and below. From the surface, water, exposed rock, vegetation, and worked ledges establish a coherent scene. Beneath it, a connected passage introduces the first descent. Looking back up should help the player understand where they are in relation to the familiar world.</w:t>
      </w:r>
    </w:p>
    <w:p>
      <w:pPr/>
      <w:r>
        <w:t>The first evening can end after a roof is repaired, a lamp is placed, or a route is marked. The player should have an appealing next task and a place to sleep. A larger mystery can be suggested by a find, a traveler, or an inaccessible viewpoint; it should not drown the ordinary pleasure of making a place usable.</w:t>
      </w:r>
    </w:p>
    <w:p>
      <w:pPr>
        <w:pStyle w:val="Heading2"/>
      </w:pPr>
      <w:r>
        <w:t>The extended Earth adventure</w:t>
      </w:r>
    </w:p>
    <w:p>
      <w:pPr/>
      <w:r>
        <w:t>The Shallows teach route reading, light, water, and sensible preparation. The Deepwilds introduce living environments and the possibility of establishing a productive underground home. Underreach asks the player to understand larger structures, vertical connections, and supply routes. The Abyss tests navigation, exposure, and decisions about limited safe ground. Mantle introduces concentrated heat and industrial preparation. Core brings the Earth arc to a deep, unusual destination whose discoveries enable the next frontier.</w:t>
      </w:r>
    </w:p>
    <w:p>
      <w:pPr/>
      <w:r>
        <w:t>These experiences need substantial lateral geography. A route may descend, follow a watershed across a region, climb to a settlement, and descend again through a different geological seam. Horizontal journeys allow each realm to support several biomes, side stories, and bases without reducing the game to one ladder through seven rooms.</w:t>
      </w:r>
    </w:p>
    <w:p>
      <w:pPr/>
      <w:r>
        <w:t>Completing an Earth objective should improve Earth. Deep materials can repair transport, improve workshops, make homes more expressive, or support safe cultivation. Space preparation is one result of exploration, but players who prefer to remain underground should still have a rich endgame of settlement growth, mapping, specialist equipment, and ambitious free building.</w:t>
      </w:r>
    </w:p>
    <w:p>
      <w:pPr>
        <w:pStyle w:val="Heading2"/>
      </w:pPr>
      <w:r>
        <w:t>How space continues the same adventure</w:t>
      </w:r>
    </w:p>
    <w:p>
      <w:pPr/>
      <w:r>
        <w:t>The first spacecraft should feel assembled from the player's established world. The workshop contributes fittings, the underground supplies advanced materials, the settlement provides preparation services, and the launch site grows through visible projects. A launch therefore feels like an accomplishment of the home the player has built.</w:t>
      </w:r>
    </w:p>
    <w:p>
      <w:pPr/>
      <w:r>
        <w:t>The Moon teaches expedition discipline through absence: little shelter, few familiar ecological supports, and a clear dependence on the lander. Mars supports a longer journey with several surface and underground identities. Outer destinations separate the capabilities that Earth combined: thermal protection, buoyancy or submersion, long navigation, radiation shielding, or the ability to build where local supplies are limited.</w:t>
      </w:r>
    </w:p>
    <w:p>
      <w:pPr/>
      <w:r>
        <w:t>Every destination needs an early safe foothold, at least one substantial descent, a memorable local problem, and something that changes life elsewhere. No planet is included solely to hold a mandatory colored ingot. The specific destination profiles later in the document define these roles and their optional branches.</w:t>
      </w:r>
    </w:p>
    <w:p>
      <w:pPr>
        <w:pStyle w:val="Heading2"/>
      </w:pPr>
      <w:r>
        <w:t>Completion and a world that remains useful</w:t>
      </w:r>
    </w:p>
    <w:p>
      <w:pPr/>
      <w:r>
        <w:t>Pluto completes the proposed Solar System campaign with a distant observatory and a meaningful return. Beyond Sol is a substantial continuation with Morrow as its capstone. Either conclusion can include a discovery, a return, and a visible change to the community that enabled the journey. It should leave the world playable. Settlements continue to offer bounded projects, established routes support future expeditions, and discoveries provide new building materials and optional specialist goals.</w:t>
      </w:r>
    </w:p>
    <w:p>
      <w:pPr/>
      <w:r>
        <w:t>Completion is therefore expressed in several ways: the main expedition journal, the state of communities, the collection of surveyed regions, specialist craft mastery, and the player's own buildings. The game should avoid requiring every rare variant, creature, decorative block, or optional planet activity for the principal narrative conclusion.</w:t>
      </w:r>
    </w:p>
    <w:p>
      <w:bookmarkStart w:id="3" w:name="chapter_03"/>
      <w:pPr>
        <w:pStyle w:val="Heading1"/>
      </w:pPr>
      <w:r>
        <w:t>The vertical world specification</w:t>
      </w:r>
      <w:bookmarkEnd w:id="3"/>
    </w:p>
    <w:p>
      <w:pPr>
        <w:pStyle w:val="Heading2"/>
      </w:pPr>
      <w:r>
        <w:t>The documented working envelope</w:t>
      </w:r>
    </w:p>
    <w:p>
      <w:pPr/>
      <w:r>
        <w:t>The development handbook defines a working default of 512 total block levels, with valid block Y values from minus 192 through 319 and an exclusive upper boundary at 320. It preserves the upper world and adds room below the earlier floor. From a reference surface elevation around 63, the difference to minus 192 is about 255 blocks. The document therefore must never describe this envelope as 512 blocks of underground depth.</w:t>
      </w:r>
    </w:p>
    <w:p>
      <w:pPr/>
      <w:r>
        <w:t>The existing prototype uses three broad design centers: A around minus 32 to minus 80, B around minus 80 to minus 128, and C around minus 128 to minus 188, with the new bottom near minus 192. Those are experiments in generation shape and transition, not approved final biome boundaries. The creative atlas retains the established realm names without assigning them unsupported permanent Y ranges.</w:t>
      </w:r>
    </w:p>
    <w:p>
      <w:pPr>
        <w:pStyle w:val="Heading2"/>
      </w:pPr>
      <w:r>
        <w:t>How the seven realms fit the creative direction</w:t>
      </w:r>
    </w:p>
    <w:p>
      <w:pPr/>
      <w:r>
        <w:t>The recommended planning model treats depth as a strong environmental tendency combined with lateral geography. A realm can contain shelves, valleys, hanging ecosystems, flooded pockets, dense rock, and passages above or below its most common range. Geology and authored routes give it recognizable continuity. Adjacent realms overlap in visible transition areas.</w:t>
      </w:r>
    </w:p>
    <w:p>
      <w:pPr/>
      <w:r>
        <w:t>Some experiences can share a broad vertical region while occupying different environmental conditions. Deepwilds can favor humid chambers with living substrates. Underreach can occupy drier structural terrain, mineral cliffs, and human routes at comparable local elevations. The Abyss can appear as deep watershed basins and exposed voids. This avoids insisting that every name is a universal planetary floor.</w:t>
      </w:r>
    </w:p>
    <w:p>
      <w:pPr/>
      <w:r>
        <w:t>Mantle and Core require particular care. Their current role is a long-term creative proposal for the deepest Earth experience. If a future prototype cannot provide enough readable terrain, travel distance, and separation within the working envelope, the design must be revised deliberately. Options include a larger continuous height specification or a different distribution of content within the existing world. Separate deep dimensions are an option to evaluate only if continuous generation cannot satisfy the intended journey; they are not silently selected here.</w:t>
      </w:r>
    </w:p>
    <w:p>
      <w:pPr>
        <w:pStyle w:val="Heading2"/>
      </w:pPr>
      <w:r>
        <w:t>A decision that belongs before permanent worlds</w:t>
      </w:r>
    </w:p>
    <w:p>
      <w:pPr/>
      <w:r>
        <w:t>The full Earth atlas should be tested against representative cross-sections and playable routes before numerical bounds become a lasting save promise. The evidence must show that each intended realm has enough usable geography, recognizable transitions, return routes, and room for structures. A successful test also preserves the familiar surface and avoids a universal empty cavern.</w:t>
      </w:r>
    </w:p>
    <w:p>
      <w:pPr/>
      <w:r>
        <w:t>This remains a future engineering decision rather than a reason to postpone the current generation-first work. The immediate prototype can prove deeper terrain, cave form, and regional variation inside the documented envelope. The creative atlas gives those experiments a destination while keeping their conclusions open.</w:t>
      </w:r>
    </w:p>
    <w:p>
      <w:bookmarkStart w:id="4" w:name="chapter_04"/>
      <w:pPr>
        <w:pStyle w:val="Heading1"/>
      </w:pPr>
      <w:r>
        <w:t>World generation and the Earth atlas</w:t>
      </w:r>
      <w:bookmarkEnd w:id="4"/>
    </w:p>
    <w:p>
      <w:pPr>
        <w:pStyle w:val="Heading3"/>
      </w:pPr>
      <w:r>
        <w:t>A familiar world with a second geography beneath it</w:t>
      </w:r>
    </w:p>
    <w:p>
      <w:pPr/>
      <w:r>
        <w:t>The Overworld retains the everyday readability of Minecraft. Forests, plains, mountains, rivers, beaches, villages, ordinary resources, farming, and player construction remain valuable. New generation should strengthen the feeling that these places have a hidden underside. A wooded hill can contain a sheltered limestone entrance. A quarry can expose a mineral seam. A mountain basin can feed a deep lake. These relationships create curiosity without turning every surface vista into an advertisement for underground content.</w:t>
      </w:r>
    </w:p>
    <w:p>
      <w:pPr/>
      <w:r>
        <w:t xml:space="preserve">The current handbook baseline provides </w:t>
      </w:r>
      <w:r>
        <w:rPr>
          <w:b/>
        </w:rPr>
        <w:t>512 total Y levels, from -192 through 319</w:t>
      </w:r>
      <w:r>
        <w:t>, with familiar surface conditions and the additional room underneath. A reference surface near Y 63 leaves approximately 255 vertical blocks down to the floor. Its three initial prototype bands are approximately A: -32 to -80, B: -80 to -128, and C: -128 to -188, with a floor near -192. These are prototype allocation references. The creative atlas does not assign final Y boundaries to Overworld, Shallows, Deepwilds, Underreach, Abyss, Mantle, or Core, nor promise that seven complete stacked realms already fit those test bands.</w:t>
      </w:r>
    </w:p>
    <w:p>
      <w:pPr/>
      <w:r>
        <w:t xml:space="preserve">The named realms describe recognizable ecological and geological identities. Their edges overlap, their chambers can occupy different local elevations, and substantial exploration runs sideways. A Shallows aquifer may descend into the upper edge of a Deepwilds basin; an Underreach escarpment may overlook an Abyss cavity. Final packaging must protect the intended experiences and realistic traversal space within the chosen world envelope. The full vision needs a later feasibility decision before any change to world height; the deeper planned realms are not a commitment to include everything in the initial prototype. The Core is a fictional deep-crustal </w:t>
      </w:r>
      <w:r>
        <w:rPr>
          <w:b/>
        </w:rPr>
        <w:t>Heart</w:t>
      </w:r>
      <w:r>
        <w:t xml:space="preserve"> environment. Reaching it never means digging to a literal planetary center.</w:t>
      </w:r>
    </w:p>
    <w:p>
      <w:pPr>
        <w:pStyle w:val="Heading3"/>
      </w:pPr>
      <w:r>
        <w:t>Generation operates at several useful scales</w:t>
      </w:r>
    </w:p>
    <w:p>
      <w:pPr/>
      <w:r>
        <w:t>At the largest scale, a seed establishes broad underground regions: wet basins, dry ridges, folded mineral country, extensive living caverns, fractured cavities, and deep thermal districts. These regions provide a reason to travel horizontally. A player cannot obtain every environmental experience by digging one narrow shaft beneath the starter house.</w:t>
      </w:r>
    </w:p>
    <w:p>
      <w:pPr/>
      <w:r>
        <w:t>Within a region, generation produces recognizable landforms: terraces, pillars, roof vaults, river trenches, shelves, debris slopes, submerged passages, crystal pockets, and occasional enormous chambers. Large chambers need supporting shape and internal geography. A room with a perfectly smooth roof and one flat floor quickly becomes visually empty. A compelling chamber has foreground cover, a traversable middle distance, and a landmark that explains where another route could lead.</w:t>
      </w:r>
    </w:p>
    <w:p>
      <w:pPr/>
      <w:r>
        <w:t>At expedition scale, generation supplies useful decisions. A player chooses between the visible bridge and the longer shore, between a flooded shortcut and a dry climb, or between collecting a nearby seam and reaching shelter before supplies run low. Small details reinforce those decisions: runoff stains reveal water, hanging roots suggest soil above, fractured stone indicates a loose route, and a different sound suggests open space beyond a wall.</w:t>
      </w:r>
    </w:p>
    <w:p>
      <w:pPr/>
      <w:r>
        <w:t>The smallest scale belongs to texture, ground cover, and resource clusters. Detail should reward attention without covering every block. Clear patches support building, navigation, combat, and appreciation of silhouettes. Some caverns should be quiet enough that their shape does the work.</w:t>
      </w:r>
    </w:p>
    <w:p>
      <w:pPr>
        <w:pStyle w:val="Heading3"/>
      </w:pPr>
      <w:r>
        <w:t>Routes must support expeditions and return journeys</w:t>
      </w:r>
    </w:p>
    <w:p>
      <w:pPr/>
      <w:r>
        <w:t>Natural routes combine descending passages, lateral shelves, loops, alternative approaches, and occasional vertical challenges. A dramatic drop can introduce a place, but the region also needs an intelligible method of getting home. That method might be a winding climb, a shore path, an authored lift repaired with materials, or a player-built staircase whose landing can be secured.</w:t>
      </w:r>
    </w:p>
    <w:p>
      <w:pPr/>
      <w:r>
        <w:t>Not every cave connects to every other cave. Closed pockets, isolated lakes, and difficult side branches create texture. However, the intended regional expedition network must offer viable ordinary traversal before advanced travel is unlocked. An essential route cannot depend on discovering a single invisible crack, draining an entire ocean, or repeatedly dying to cross an untelegraphed hazard.</w:t>
      </w:r>
    </w:p>
    <w:p>
      <w:pPr/>
      <w:r>
        <w:t>The world supports improvisation. Players may tunnel, bridge, climb, swim, and build their own transport. Designed routes earn attention through landmarks, discoveries, comfortable staging points, and useful rewards. Progression relies primarily on obtaining capabilities and understanding an environment; it should rarely depend on an indestructible door that contradicts the surrounding buildable world.</w:t>
      </w:r>
    </w:p>
    <w:p>
      <w:pPr/>
      <w:r>
        <w:t>Returning should change the emotional reading of a place. The first descent follows uncertain light across exposed ground. Later, the same view contains the player's bridge, supply hut, rail spur, and settlement lights. Shortcuts reduce repeated travel while leaving worthwhile branches and distant regions unexplored.</w:t>
      </w:r>
    </w:p>
    <w:p>
      <w:pPr>
        <w:pStyle w:val="Heading3"/>
      </w:pPr>
      <w:r>
        <w:t>Geological identity gives resources a reason to be somewhere</w:t>
      </w:r>
    </w:p>
    <w:p>
      <w:pPr/>
      <w:r>
        <w:t>Stone families, seams, intrusion shapes, exposed faces, and loose debris make regions legible. Limestone shelves differ from dark fractured rock; pale crystal growth differs from a metal seam; a field of broken columns differs from a smooth mineral terrace. These are game-world material languages, with geological inspiration serving readability rather than requiring a complete Earth simulator.</w:t>
      </w:r>
    </w:p>
    <w:p>
      <w:pPr/>
      <w:r>
        <w:t>Resource distribution follows several patterns. Common building materials occur in broad workable bodies. Familiar ores remain available through understandable mining. Regional materials favor particular host rock, water conditions, fractures, or structures. Valuable deposits can appear as modest exposed traces leading toward a richer body, allowing surveying and deliberate excavation to matter.</w:t>
      </w:r>
    </w:p>
    <w:p>
      <w:pPr/>
      <w:r>
        <w:t>A resource should have a harvesting story beyond a higher tool number. An accessible seam might require keeping footing over a drop. A submerged mineral bed might favor a prepared diving route. A crystal cluster might be easiest to recover intact after stabilizing its supports. These challenges need clear visual clues and alternative preparation choices; random destruction of a valuable drop would be frustrating.</w:t>
      </w:r>
    </w:p>
    <w:p>
      <w:pPr/>
      <w:r>
        <w:t>Scarcity is reserved for distinctive equipment, services, and optional projects. Ordinary settlement life should not demand repeated expeditions for a tiny, randomly distributed ingredient. Regions offer resources with useful roles and tradeoffs, so a Deepwilds material can remain desirable after a player reaches the Mantle. Later equipment broadens what players can do instead of invalidating every earlier tool and place.</w:t>
      </w:r>
    </w:p>
    <w:p>
      <w:pPr/>
      <w:r>
        <w:t>Excavation persists. Generated ore bodies do not invisibly refill behind the player. Renewable goods come from explicitly renewable processes such as cultivated plants, managed fungal growth, settlement production, or a defined processing recipe. The world can support a mine that looks like a mine, with meaningful reasons to establish a second site elsewhere.</w:t>
      </w:r>
    </w:p>
    <w:p>
      <w:pPr>
        <w:pStyle w:val="Heading3"/>
      </w:pPr>
      <w:r>
        <w:t>Water heat air and light form local readable systems</w:t>
      </w:r>
    </w:p>
    <w:p>
      <w:pPr/>
      <w:r>
        <w:t>Water creates regional character through underground rivers, perched pools, lake basins, seepage, flooded passages, and dry former channels. Major water bodies have visible containment and believable connections within the game's visual language. Waterfalls end in basins or continuing channels. Flooded shortcuts belong to bounded spaces. A player should usually be able to recognize what they are about to open before breaking through a wet wall.</w:t>
      </w:r>
    </w:p>
    <w:p>
      <w:pPr/>
      <w:r>
        <w:t>The desired experience does not require every distant aquifer to simulate continuously. Authored flooding events use finite areas and controlled states. Everyday exploration relies on stable generated water and understandable local block behavior. A small excavation should not accidentally trigger an unbounded region-wide calculation or destroy settlements far beyond the player's view.</w:t>
      </w:r>
    </w:p>
    <w:p>
      <w:pPr/>
      <w:r>
        <w:t>Heat becomes important in the Mantle and selected earlier pockets. The first clues are environmental: warm light reflected under a ledge, altered plants, vent sounds, or a visibly active flow. Preparation and route choice handle danger. A broad safe shelf can cross a thermal chamber, while a shorter route through exposed vents rewards better equipment. Safe pockets remain possible within hostile regions.</w:t>
      </w:r>
    </w:p>
    <w:p>
      <w:pPr/>
      <w:r>
        <w:t>Air effects emphasize atmosphere and legibility. Pollen, drifting mineral dust, mist, and warm shimmer can distinguish locations. Any gameplay effect needs a recognizable source, understandable extent, and reliable response. The default experience should avoid a permanent stack of invisible meters that forces the player to study an interface before appreciating a cavern.</w:t>
      </w:r>
    </w:p>
    <w:p>
      <w:pPr/>
      <w:r>
        <w:t>Light comes from identifiable sources: openings, player equipment, fungi, exposed crystals, settlements, lava, and particular deep materials. Dark areas retain meaningful silhouettes and contrast. A bright fungal forest and a dim crystal shoreline should not share the same universal colored glow. Visibility options must preserve navigation and hazard cues for players who cannot or choose not to use advanced visual effects.</w:t>
      </w:r>
    </w:p>
    <w:p>
      <w:pPr>
        <w:pStyle w:val="Heading3"/>
      </w:pPr>
      <w:r>
        <w:t>Life belongs to habitats</w:t>
      </w:r>
    </w:p>
    <w:p>
      <w:pPr/>
      <w:r>
        <w:t>Underground life clusters around usable habitat. Roots descend from appropriate surface areas. Fungal growth gathers around damp material and decaying matter. Amphibious creatures favor water edges. Deep animals use ledges, cover, or recognizable nesting areas. Empty expanses remain part of the world, making a pocket of life feel discovered.</w:t>
      </w:r>
    </w:p>
    <w:p>
      <w:pPr/>
      <w:r>
        <w:t>Creatures support exploration as much as combat. A small animal can reveal a safe path, a burrowing species can expose a seam, and a territorial grazer can require a quiet detour. Hostile encounters vary in cadence and space. A refuge should not repeatedly spawn attackers inside its intended resting area; a dangerous passage should communicate why it is dangerous.</w:t>
      </w:r>
    </w:p>
    <w:p>
      <w:pPr/>
      <w:r>
        <w:t>The player's influence is visible but bounded. Lighting a camp, cultivating a local plant, or restoring water to an authored garden can change that place. These effects do not require a global ecology to run forever. Regrowth, population recovery, settlement work, and production use explicit rules and pause appropriately when their area is inactive.</w:t>
      </w:r>
    </w:p>
    <w:p>
      <w:pPr>
        <w:pStyle w:val="Heading3"/>
      </w:pPr>
      <w:r>
        <w:t>Natural landforms and authored places have different jobs</w:t>
      </w:r>
    </w:p>
    <w:p>
      <w:pPr/>
      <w:r>
        <w:t>Terrain supplies surprise and regional coherence. Authored structures supply dependable story, useful services, deliberate routes, and construction projects with a recognizable aesthetic. A seed decides where a suitable structure fits; its purpose, room relationships, and major beats remain controlled. Optional sites may be omitted where no supported placement exists. Required campaign anchors must have a reachable supported placement, so an unusual seed cannot remove Old Valley or the intended Heart destination.</w:t>
      </w:r>
    </w:p>
    <w:p>
      <w:pPr/>
      <w:r>
        <w:t>Substantial stretches remain natural and unoccupied. Regional anchors are destinations separated by landscape, not the default furnishing of every chamber. Everyday shelters, survey routes, gardens, and working infrastructure can carry human history. Unusual ancient or unexplained technology belongs to selected narrative locations, preserving its significance when encountered. Finding a remarkable natural habitat must be able to complete an expedition on its own.</w:t>
      </w:r>
    </w:p>
    <w:p>
      <w:pPr/>
      <w:r>
        <w:t>Placement uses suitable landforms: an entrance on a dry shoulder, a dock at a stable shoreline, a watchpoint with an actual view, or a lift within a usable vertical opening. Adaptable foundations, short transition paths, and a small family of variants help structures meet terrain gracefully. Repeated giant rectangular excavations would damage the world’s character.</w:t>
      </w:r>
    </w:p>
    <w:p>
      <w:pPr/>
      <w:r>
        <w:t>Managed construction uses an interactable project/controller block. Players inspect the project, supply its listed materials, and trigger clear stages of a predefined build. The resulting bridge, station, workshop, or refuge belongs to the location aesthetically. Free building remains available alongside these projects, and project placement must respect designated space for player construction.</w:t>
      </w:r>
    </w:p>
    <w:p>
      <w:pPr/>
      <w:r>
        <w:t>No existing character, chapter, or settlement identity is replaced by a new name in this chapter. The proposed anchors describe locations and gameplay roles. Established narrative characters can occupy those roles when the complete earlier story is incorporated.</w:t>
      </w:r>
    </w:p>
    <w:p>
      <w:pPr>
        <w:pStyle w:val="Heading3"/>
      </w:pPr>
      <w:r>
        <w:t>Variation must remain fair and readable</w:t>
      </w:r>
    </w:p>
    <w:p>
      <w:pPr/>
      <w:r>
        <w:t>Seeds vary chamber arrangement, route geometry, regional extent, resource pockets, secondary structures, and local dressing. Rare variants provide memorable discoveries: an unusually clear lake, a cathedral-like mineral fold, or a root column that spans several chambers. Basic campaign capabilities remain reachable through ordinary regions and predictable progression paths.</w:t>
      </w:r>
    </w:p>
    <w:p>
      <w:pPr/>
      <w:r>
        <w:t>Each regional identity needs several visual states and activity patterns. Rarity alone cannot carry replay value. A wet Deepwilds basin should differ from a dry, canopy-filled hollow even when both are common. Variation also includes quiet places, accessible building sites, demanding routes, and rewarding survey viewpoints.</w:t>
      </w:r>
    </w:p>
    <w:p>
      <w:pPr/>
      <w:r>
        <w:t>Generation should produce stable results that survive revisits. An established route, ore body, or authored landmark must not re-roll because a chunk unloads. Expensive detail concentrates near useful play spaces. Distant atmosphere can suggest scale, but backgrounds must not advertise reachable continents where the playable world ends abruptly.</w:t>
      </w:r>
    </w:p>
    <w:p>
      <w:pPr/>
      <w:r>
        <w:t>Creative review should ask: can a player recognize this region without its title; describe a useful choice made there; find shelter; return home; build something that belongs; and explain why they would visit again? A visually striking biome that fails most of these questions needs another design pass.</w:t>
      </w:r>
    </w:p>
    <w:p>
      <w:bookmarkStart w:id="5" w:name="chapter_05"/>
      <w:pPr>
        <w:pStyle w:val="Heading1"/>
      </w:pPr>
      <w:r>
        <w:t>Overworld</w:t>
      </w:r>
      <w:bookmarkEnd w:id="5"/>
    </w:p>
    <w:p>
      <w:pPr>
        <w:pStyle w:val="Heading3"/>
      </w:pPr>
      <w:r>
        <w:t>Identity and first impression</w:t>
      </w:r>
    </w:p>
    <w:p>
      <w:pPr/>
      <w:r>
        <w:t>The Overworld establishes trust. The player sees familiar sky, weather, terrain, farming opportunities, and manageable survival tasks. Discovery begins through a practical need: stone for a house, metal for equipment, a missing supply route, or an interesting opening encountered while exploring. The first underground invitation should feel like a discovery within an ordinary world.</w:t>
      </w:r>
    </w:p>
    <w:p>
      <w:pPr/>
      <w:r>
        <w:t>The accepted shoreline/quarry image provides a visual target: rich blue water, visible underwater vegetation, detailed trees, warm sunlight, and a polished shader-like finish. The document must distinguish visual treatment from generated content. Better light and water rendering can reveal existing shapes; additional ledges, caves, trees, stone profiles, and submerged vegetation require their own world or asset work.</w:t>
      </w:r>
    </w:p>
    <w:p>
      <w:pPr>
        <w:pStyle w:val="Heading3"/>
      </w:pPr>
      <w:r>
        <w:t>Regional experiences</w:t>
      </w:r>
    </w:p>
    <w:p>
      <w:pPr/>
      <w:r>
        <w:rPr>
          <w:b/>
        </w:rPr>
        <w:t>Bluewater Quarry Coast.</w:t>
      </w:r>
      <w:r>
        <w:t xml:space="preserve"> A sheltered coast places broken stone terraces beside clear blue shallows. Pale exposed rock, darker wet edges, reeds, submerged plants, and scattered trees create an inviting early expedition area. Sunlight reaches the water floor near shore; deeper water becomes harder to read. The player harvests ordinary stone and familiar ores, secures a descent into a quarry opening, and finds a submerged side chamber. Slippery-looking narrow edges and sudden depth teach caution. A dry quarry office platform offers an obvious first outpost.</w:t>
      </w:r>
    </w:p>
    <w:p>
      <w:pPr/>
      <w:r>
        <w:rPr>
          <w:b/>
        </w:rPr>
        <w:t>Rooted Uplands.</w:t>
      </w:r>
      <w:r>
        <w:t xml:space="preserve"> Forested hills conceal shallow caves beneath broad root systems. Soil, stone, fallen wood, moss, and root arches connect above and below. Daylight filters through occasional openings, and small streams disappear into visible sinks. Wildlife makes the surface feel settled; deeper movement hints at another habitat. Players track water, open a useful path, collect early building supplies, and discover a protected chamber suitable for storage. The reward is a convenient home-to-cave connection with enough shape to make improving it satisfying.</w:t>
      </w:r>
    </w:p>
    <w:p>
      <w:pPr/>
      <w:r>
        <w:rPr>
          <w:b/>
        </w:rPr>
        <w:t>Rivergate Country.</w:t>
      </w:r>
      <w:r>
        <w:t xml:space="preserve"> A wide river crosses farms, modest cliffs, gravel banks, and scattered settlement sites. Its underground story appears through springs and a navigable rock arch near a bend. Familiar plants and fish give the route everyday value. Flooded side channels require care, while high banks provide dependable shelter. Players can build a ferry landing, restore a short bridge, or connect farms to an expedition depot. Food production and travel make this region useful long after its first discovery.</w:t>
      </w:r>
    </w:p>
    <w:p>
      <w:pPr/>
      <w:r>
        <w:rPr>
          <w:b/>
        </w:rPr>
        <w:t>Windscar Heights.</w:t>
      </w:r>
      <w:r>
        <w:t xml:space="preserve"> A mountain district contains exposed faces, sheltered bowls, scree-like slopes, and passages where daylight reaches surprisingly far underground. Snow and cold belong to recognizable surface terrain; glowing subterranean life appears only near the lower transitions. Traversal emphasizes climbing, careful descent, and route marking. An old survey platform frames a route into the mountain. Players gain sightlines, stone varieties, and access to deeper mineral country, then return through a protected saddle rather than repeating an awkward cliff scramble.</w:t>
      </w:r>
    </w:p>
    <w:p>
      <w:pPr/>
      <w:r>
        <w:rPr>
          <w:b/>
        </w:rPr>
        <w:t>Rainwood Hollows.</w:t>
      </w:r>
      <w:r>
        <w:t xml:space="preserve"> A lush, wet woodland hides sinkholes, fern-lined openings, and shallow pools under a dense canopy. Dark soil and pale stone make openings readable. Dripping water, insects, and distant birds form the soundscape. The chief challenge is orientation: several harmless-looking hollows can connect underneath. Exploration yields decorative plants, cultivation stock, and a sheltered entrance toward the Deepwilds. Building raised paths and a modest field station turns confusing ground into a useful living landscape.</w:t>
      </w:r>
    </w:p>
    <w:p>
      <w:pPr>
        <w:pStyle w:val="Heading3"/>
      </w:pPr>
      <w:r>
        <w:t>Settlement authored route and continuing value</w:t>
      </w:r>
    </w:p>
    <w:p>
      <w:pPr/>
      <w:r>
        <w:t xml:space="preserve">The proposed </w:t>
      </w:r>
      <w:r>
        <w:rPr>
          <w:b/>
        </w:rPr>
        <w:t>Surface Expedition House</w:t>
      </w:r>
      <w:r>
        <w:t xml:space="preserve"> is an optional regional depot available after the first market. Old Valley's guesthouse remains the opening home and chapter anchor. The depot stands near a promising regional entrance and an ordinary buildable landscape. Its controller constructs practical stages: marked entrance, storage, map table, covered work area, and eventually a return-transport landing. It supports later surface expeditions without dictating the player's main house or repeating the guesthouse chapter.</w:t>
      </w:r>
    </w:p>
    <w:p>
      <w:pPr/>
      <w:r>
        <w:t>Its first authored expedition follows a visible trail through an entrance, a useful resource pocket, a small traversal problem, and a dry underground shelter. The return opens a modest shortcut to the original trail. A player learns how SUBSTELLAR handles prepared routes and projects while retaining freedom to explore another opening.</w:t>
      </w:r>
    </w:p>
    <w:p>
      <w:pPr/>
      <w:r>
        <w:t>The surface remains the agricultural, social, and construction center of the early game. Deeper discoveries bring plants to cultivate, materials to display, tools to manufacture, and new reasons to expand the settlement. Later orbital development should feel connected to this lived-in home.</w:t>
      </w:r>
    </w:p>
    <w:p>
      <w:pPr>
        <w:pStyle w:val="Heading3"/>
      </w:pPr>
      <w:r>
        <w:t>A sample expedition</w:t>
      </w:r>
    </w:p>
    <w:p>
      <w:pPr/>
      <w:r>
        <w:t>Late sunlight reaches the quarry wall. The player follows a blue pool beneath a stone lip, finds a familiar ore seam, and notices roots behind it. A short cut opens a dry ledge above an underground stream. They leave a chest and lamp, return by a newly placed stair, and can still see their house across the water. The discovery is modest, useful, and unmistakably theirs.</w:t>
      </w:r>
    </w:p>
    <w:p>
      <w:pPr/>
      <w:r>
        <w:rPr>
          <w:b/>
        </w:rPr>
        <w:t>Later image subjects:</w:t>
      </w:r>
      <w:r>
        <w:t xml:space="preserve"> broad quarry-coast establishing view; first-person descent at the blue pool; Rooted Uplands surface-to-cave relationship; Rivergate settlement with ordinary farming; Windscar passage with lingering daylight; Rainwood exploration in wet weather; Expedition House before and after staged construction. Include a comparison of the accepted lighting target and the additional geometry it would require.</w:t>
      </w:r>
    </w:p>
    <w:p>
      <w:bookmarkStart w:id="6" w:name="chapter_06"/>
      <w:pPr>
        <w:pStyle w:val="Heading1"/>
      </w:pPr>
      <w:r>
        <w:t>Shallows</w:t>
      </w:r>
      <w:bookmarkEnd w:id="6"/>
    </w:p>
    <w:p>
      <w:pPr>
        <w:pStyle w:val="Heading3"/>
      </w:pPr>
      <w:r>
        <w:t>Identity and first impression</w:t>
      </w:r>
    </w:p>
    <w:p>
      <w:pPr/>
      <w:r>
        <w:t>The Shallows preserve contact with the surface while revealing that underground travel has its own geography. Roots, pale rock, damp shelves, small streams, and occasional daylight create a sense of invitation. Familiar resources are plentiful enough to support building. Danger comes from getting turned around, mishandling a crossing, or entering an obviously less forgiving branch.</w:t>
      </w:r>
    </w:p>
    <w:p>
      <w:pPr/>
      <w:r>
        <w:t>Sound carries water and distant life between chambers. Routes are intimate enough for individual landmarks to matter: a split root, a pale pillar, a waterfall visible through a crack. This realm teaches observation and preparation before the stranger regions ask more of the player.</w:t>
      </w:r>
    </w:p>
    <w:p>
      <w:pPr>
        <w:pStyle w:val="Heading3"/>
      </w:pPr>
      <w:r>
        <w:t>Regional experiences</w:t>
      </w:r>
    </w:p>
    <w:p>
      <w:pPr/>
      <w:r>
        <w:rPr>
          <w:b/>
        </w:rPr>
        <w:t>Rootlace Galleries.</w:t>
      </w:r>
      <w:r>
        <w:t xml:space="preserve"> Broad roots follow chamber roofs and form occasional natural arches. Earthy stone, moss, exposed soil pockets, and pools distinguish this habitat from a generic cave. Scattered warm daylight gives way to player lighting along the inner route. Small harmless creatures shelter among roots; territorial nests occupy marked side pockets. Players collect renewable cultivation material, discover surface connections, and build hanging walkways. A broad dry ledge beneath the largest root system provides a dependable refuge.</w:t>
      </w:r>
    </w:p>
    <w:p>
      <w:pPr/>
      <w:r>
        <w:rPr>
          <w:b/>
        </w:rPr>
        <w:t>Chalkstep Terraces.</w:t>
      </w:r>
      <w:r>
        <w:t xml:space="preserve"> Pale mineral shelves descend around a shallow stream. Rounded pockets, small cascades, and contrasting dark seams help players read the landform from above. Mineral deposits catch torchlight without making the entire space glow. Wet ledges and concealed deeper basins create traversal choices. Players choose a direct descent or a longer dry rim, uncover familiar ores in terrace breaks, and obtain a useful pale building palette. Terrace alcoves make attractive workshops and supply stops.</w:t>
      </w:r>
    </w:p>
    <w:p>
      <w:pPr/>
      <w:r>
        <w:rPr>
          <w:b/>
        </w:rPr>
        <w:t>Copperwash Channels.</w:t>
      </w:r>
      <w:r>
        <w:t xml:space="preserve"> Warm-colored seams run through worn channels and modest chambers. Water stains, coarse stone, gravel banks, and hanging vegetation explain where the route continues. The place feels industrious before any settlement is built. Players trace an exposed seam into workable mining ground, clear a short transport path, and find a dry cut above the active stream. Branching water routes can disorient an unprepared traveler. Useful common metal and a naturally convenient mine site make the discovery immediately practical.</w:t>
      </w:r>
    </w:p>
    <w:p>
      <w:pPr/>
      <w:r>
        <w:rPr>
          <w:b/>
        </w:rPr>
        <w:t>Glasswell Pools.</w:t>
      </w:r>
      <w:r>
        <w:t xml:space="preserve"> Clear pools occupy a stepped pocket system with pale crystal growth near the waterline. Light travels through the openings above and reflects from small surfaces, leaving deeper passages distinctly darker. Fish and slow-moving cave life occupy the shallows. Players can collect decorative crystals, survey a submerged loop, or build a short dock and breathing station for later dives. The main rewards are a memorable water habitat, a shortcut, and access to a larger flooded district that initially remains optional.</w:t>
      </w:r>
    </w:p>
    <w:p>
      <w:pPr/>
      <w:r>
        <w:rPr>
          <w:b/>
        </w:rPr>
        <w:t>Drybell Vaults.</w:t>
      </w:r>
      <w:r>
        <w:t xml:space="preserve"> A comparatively dry region contains smooth roof domes, gravel fans, narrow chimneys, and broad undisturbed floors. Its sparse life and clear acoustics create relief after wet passages. Lighting comes almost entirely from the player and occasional entrance shafts. A few weak-looking slopes identify designated loose-material encounters; major load-bearing terrain remains stable under ordinary building. Players obtain aggregate and stone, practice surveying sound and shape, and establish a spacious refuge suitable for a communal workshop.</w:t>
      </w:r>
    </w:p>
    <w:p>
      <w:pPr>
        <w:pStyle w:val="Heading3"/>
      </w:pPr>
      <w:r>
        <w:t>Settlement authored route and continuing value</w:t>
      </w:r>
    </w:p>
    <w:p>
      <w:pPr/>
      <w:r>
        <w:t xml:space="preserve">The signature anchor is a </w:t>
      </w:r>
      <w:r>
        <w:rPr>
          <w:b/>
        </w:rPr>
        <w:t>Shallows Waystation</w:t>
      </w:r>
      <w:r>
        <w:t>, a small authored refuge built into a dry junction near water. Its project block restores a platform, protected storage, a workbench area, route markers, and an optional cart landing. The structure teaches the value of a regional base. It never consumes the only attractive building ledge in the area.</w:t>
      </w:r>
    </w:p>
    <w:p>
      <w:pPr/>
      <w:r>
        <w:t xml:space="preserve">The associated route is a </w:t>
      </w:r>
      <w:r>
        <w:rPr>
          <w:b/>
        </w:rPr>
        <w:t>Broken Waterway Passage</w:t>
      </w:r>
      <w:r>
        <w:t>: a washed-out crossing, a dry maintenance cut, and a small observation chamber overlooking the next habitat. Supplying materials rebuilds a controlled bridge and opens a safer return loop. The first view toward the Deepwilds should reveal a change in life and scale before the player commits to entering it.</w:t>
      </w:r>
    </w:p>
    <w:p>
      <w:pPr/>
      <w:r>
        <w:t>Shallows sites remain useful as convenient mines, regional entrances, workshops, and cultivation rooms. Later tools help develop side pools and higher roof pockets. Fast return routes converge here, so earlier work acquires lasting transport value.</w:t>
      </w:r>
    </w:p>
    <w:p>
      <w:pPr>
        <w:pStyle w:val="Heading3"/>
      </w:pPr>
      <w:r>
        <w:t>A sample expedition</w:t>
      </w:r>
    </w:p>
    <w:p>
      <w:pPr/>
      <w:r>
        <w:t>The player arrives with food, lamps, and timber. Following copper-stained stone brings them to a stream crossing whose far bank carries unfamiliar green light. They find the Waystation’s materials list, gather stone nearby, and build its first sheltered platform. The repaired bridge becomes the visible line home. Curiosity can now extend beyond the light they originally brought.</w:t>
      </w:r>
    </w:p>
    <w:p>
      <w:pPr/>
      <w:r>
        <w:rPr>
          <w:b/>
        </w:rPr>
        <w:t>Later image subjects:</w:t>
      </w:r>
      <w:r>
        <w:t xml:space="preserve"> root-filled arrival chamber; Chalkstep overlook showing both routes; copper seam and working channel; Glasswell above and below water; quiet Drybell base site; Waystation staging area; repaired bridge framing the first Deepwilds glimpse. Images should emphasize the transition from daylight to dependable player-made light.</w:t>
      </w:r>
    </w:p>
    <w:p>
      <w:bookmarkStart w:id="7" w:name="chapter_07"/>
      <w:pPr>
        <w:pStyle w:val="Heading1"/>
      </w:pPr>
      <w:r>
        <w:t>Deepwilds</w:t>
      </w:r>
      <w:bookmarkEnd w:id="7"/>
    </w:p>
    <w:p>
      <w:pPr>
        <w:pStyle w:val="Heading3"/>
      </w:pPr>
      <w:r>
        <w:t>Identity and first impression</w:t>
      </w:r>
    </w:p>
    <w:p>
      <w:pPr/>
      <w:r>
        <w:t>The Deepwilds deliver the first major revelation: the underground can feel like a living landscape. Caverns contain canopies, shorelines, clearings, animal paths, and vertical gardens. The player experiences discovery, abundance, and a need to learn a habitat rather than conquer it.</w:t>
      </w:r>
    </w:p>
    <w:p>
      <w:pPr/>
      <w:r>
        <w:t>Growth varies with local moisture and shape. Dense cover occupies suitable pockets, while open water and exposed stone provide relief. Luminescence creates readable sources and patches of color. The desired impression is a hidden world with its own daily rhythms, expressed through local behaviors that remain practical to implement and understandable to players.</w:t>
      </w:r>
    </w:p>
    <w:p>
      <w:pPr>
        <w:pStyle w:val="Heading3"/>
      </w:pPr>
      <w:r>
        <w:t>Regional experiences</w:t>
      </w:r>
    </w:p>
    <w:p>
      <w:pPr/>
      <w:r>
        <w:rPr>
          <w:b/>
        </w:rPr>
        <w:t>Lanternroot Forests.</w:t>
      </w:r>
      <w:r>
        <w:t xml:space="preserve"> Tall root columns support hanging leaves and softly luminous growth. Dark trunks, broad stone shelves, damp soil, and clear pools create foreground and depth. Light gathers around fruiting clusters; unlit routes remain visibly separate. Small climbers and cautious grazers use established paths. Players collect cultivation stock, navigate the canopy, and seek elevated viewpoints. Territorial animals and obscured drops reward patient movement. A wide clearing beside a root column is a natural settlement site.</w:t>
      </w:r>
    </w:p>
    <w:p>
      <w:pPr/>
      <w:r>
        <w:rPr>
          <w:b/>
        </w:rPr>
        <w:t>Sporemeadow Basins.</w:t>
      </w:r>
      <w:r>
        <w:t xml:space="preserve"> Low fungal fields surround shallow water and scattered boulders beneath a vaulted roof. Soft amber and muted blue patches provide color without uniform brightness. Insects and small foragers move between growth clusters. Certain visibly dense spore patches briefly reduce clarity or require an alternate route; the ordinary meadow remains comfortable. Players harvest food and processing ingredients, learn cultivation conditions, and restore an authored growhouse. Managed production later makes this region a reliable supply partner.</w:t>
      </w:r>
    </w:p>
    <w:p>
      <w:pPr/>
      <w:r>
        <w:rPr>
          <w:b/>
        </w:rPr>
        <w:t>Hanging Gardens.</w:t>
      </w:r>
      <w:r>
        <w:t xml:space="preserve"> Vertical walls carry vegetation on stepped shelves above a narrow river. Mineral streaks, exposed rock ribs, hanging vines, and isolated platforms give the place a strong ascending silhouette. Light falls in irregular patches from plants and reflective wet stone. Nesting creatures occupy particular shelves. Traversal centers on climbing, bridging, and choosing a safe water-level route. Distinct plant varieties and roof access reward the effort. An upper balcony provides a refuge with a commanding view of the cavern network.</w:t>
      </w:r>
    </w:p>
    <w:p>
      <w:pPr/>
      <w:r>
        <w:rPr>
          <w:b/>
        </w:rPr>
        <w:t>Bluefen Groves.</w:t>
      </w:r>
      <w:r>
        <w:t xml:space="preserve"> A low, wet district contains dark shallow water, root islands, broad leaves, and luminous shoreline growth. The reflective surface makes depth deceptive until clear margins reveal the channel structure. Amphibious animals and occasional protective parents animate the waterline. Players build raised paths, collect wetland cultivation stock, fish, and search submerged roots for material pockets. Secure landing platforms matter more than heavy combat equipment. A central dry island supports a small dock settlement and an excellent visual landmark.</w:t>
      </w:r>
    </w:p>
    <w:p>
      <w:pPr/>
      <w:r>
        <w:rPr>
          <w:b/>
        </w:rPr>
        <w:t>Quietwood Hollows.</w:t>
      </w:r>
      <w:r>
        <w:t xml:space="preserve"> Dry stone bowls contain pale woody growth, leaflike litter, sheltered pools, and spacious gaps between trunks. Their restrained light and gentle local life offer a calmer Deepwilds experience. Thin edges of the forest open toward dark rock country, foreshadowing the Underreach. Players establish timber-like renewable production, explore concealed lateral exits, and uncover a protected seed store. Rewards support construction and settlement comfort. The challenge is maintaining orientation across connected hollows that look similar until their landmarks are learned.</w:t>
      </w:r>
    </w:p>
    <w:p>
      <w:pPr>
        <w:pStyle w:val="Heading3"/>
      </w:pPr>
      <w:r>
        <w:t>Settlement authored route and continuing value</w:t>
      </w:r>
    </w:p>
    <w:p>
      <w:pPr/>
      <w:r>
        <w:t xml:space="preserve">The signature structure is a </w:t>
      </w:r>
      <w:r>
        <w:rPr>
          <w:b/>
        </w:rPr>
        <w:t>Deepwilds Conservatory</w:t>
      </w:r>
      <w:r>
        <w:t>, placed at the edge of a viable garden rather than in its densest growth. Its staged build provides a sheltered gathering area, seed storage, growing beds, a water station, and a canopy lookout. Local cultivation follows explicit conditions and player-controlled projects. The conservatory can become a comfortable home without turning the entire region into a mandatory farming system.</w:t>
      </w:r>
    </w:p>
    <w:p>
      <w:pPr/>
      <w:r>
        <w:t xml:space="preserve">Its authored expedition, the </w:t>
      </w:r>
      <w:r>
        <w:rPr>
          <w:b/>
        </w:rPr>
        <w:t>Canopy-to-River Circuit</w:t>
      </w:r>
      <w:r>
        <w:t>, links a damaged upper walkway, a seed archive, a lower animal crossing, and a sheltered river landing. Restoring two short projects creates a loop through contrasting habitats. The narrative can reveal earlier inhabitants through practical objects, garden arrangements, and maintained routes instead of relying on a long text dump.</w:t>
      </w:r>
    </w:p>
    <w:p>
      <w:pPr/>
      <w:r>
        <w:t>Players return for cultivation stock, food variety, decorative growth, local processing ingredients, and nearby exploration. Later equipment opens high canopy shelves and submerged roots. The conservatory becomes a source of living materials for settlements on other worlds, subject to each destination’s supported growing conditions.</w:t>
      </w:r>
    </w:p>
    <w:p>
      <w:pPr>
        <w:pStyle w:val="Heading3"/>
      </w:pPr>
      <w:r>
        <w:t>A sample expedition</w:t>
      </w:r>
    </w:p>
    <w:p>
      <w:pPr/>
      <w:r>
        <w:t>A narrow passage opens above a forest whose lights move only when small animals brush the hanging plants. The player descends to a clearing, watches a creature use a shallow crossing, and follows at a distance. The route leads to an abandoned garden platform. Repairing it establishes shelter, and the return walkway reveals the cavern from above. The player leaves with seeds and a clear desire to build here.</w:t>
      </w:r>
    </w:p>
    <w:p>
      <w:pPr/>
      <w:r>
        <w:rPr>
          <w:b/>
        </w:rPr>
        <w:t>Later image subjects:</w:t>
      </w:r>
      <w:r>
        <w:t xml:space="preserve"> first forest reveal from a narrow entry; Lanternroot ground-level exploration; Sporemeadow harvesting and growhouse; Hanging Gardens climb with a visible lower alternative; Bluefen dock settlement; Quietwood building site; conservatory before and after restoration. Include living close-ups and a calm domestic scene, not only expansive glowing panoramas.</w:t>
      </w:r>
    </w:p>
    <w:p>
      <w:bookmarkStart w:id="8" w:name="chapter_08"/>
      <w:pPr>
        <w:pStyle w:val="Heading1"/>
      </w:pPr>
      <w:r>
        <w:t>Underreach</w:t>
      </w:r>
      <w:bookmarkEnd w:id="8"/>
    </w:p>
    <w:p>
      <w:pPr>
        <w:pStyle w:val="Heading3"/>
      </w:pPr>
      <w:r>
        <w:t>Identity and first impression</w:t>
      </w:r>
    </w:p>
    <w:p>
      <w:pPr/>
      <w:r>
        <w:t>The Underreach shifts attention toward scale, travel, and evidence of purposeful work. Long galleries, dark stone ridges, mineral country, dry channels, and selected inhabited sites suggest that the deep can support routes and livelihoods. Vegetation becomes more concentrated. Warm settlement lights acquire emotional weight against large cool spaces.</w:t>
      </w:r>
    </w:p>
    <w:p>
      <w:pPr/>
      <w:r>
        <w:t>The realm should avoid making every discovery an abandoned ruin. Some places are damaged, others are incomplete, and some can become active through established characters and project systems. The player begins thinking in regional networks: where materials move, where travelers rest, and which connection would make several settlements more useful.</w:t>
      </w:r>
    </w:p>
    <w:p>
      <w:pPr>
        <w:pStyle w:val="Heading3"/>
      </w:pPr>
      <w:r>
        <w:t>Regional experiences</w:t>
      </w:r>
    </w:p>
    <w:p>
      <w:pPr/>
      <w:r>
        <w:rPr>
          <w:b/>
        </w:rPr>
        <w:t>Ironfold Ridges.</w:t>
      </w:r>
      <w:r>
        <w:t xml:space="preserve"> Broad folded-looking rock ribs divide parallel valleys and stepped mining faces. Dark gray stone, exposed metal seams, rubble fans, and sparse hardy growth create an industrial palette before construction. Light is mostly carried or settlement-made. Animals favor sheltered gullies; exposed ridges require careful traversal. Players survey seams, establish a measured excavation, and bridge short gaps. A protected shelf between ridges provides a mine camp with practical expansion room.</w:t>
      </w:r>
    </w:p>
    <w:p>
      <w:pPr/>
      <w:r>
        <w:rPr>
          <w:b/>
        </w:rPr>
        <w:t>Saltmirror Halls.</w:t>
      </w:r>
      <w:r>
        <w:t xml:space="preserve"> Pale mineral crusts frame still, dark pools beneath high, relatively clean vaults. Scattered reflective facets respond strongly to moving light, so the player can read pillars across the water. Life gathers at limited freshwater margins. Brittle-looking crust marks specific hazardous tiles or authored routes, with solid alternate shore paths visible. Players collect decorative mineral blocks, survey pool edges, and uncover a sealed storehouse. The reward is an unusual building palette and a navigable water route through otherwise difficult country.</w:t>
      </w:r>
    </w:p>
    <w:p>
      <w:pPr/>
      <w:r>
        <w:rPr>
          <w:b/>
        </w:rPr>
        <w:t>Blackriver Galleries.</w:t>
      </w:r>
      <w:r>
        <w:t xml:space="preserve"> A substantial underground river passes stone quays, natural gravel bars, rock arches, and dry former banks. Subdued water reflections and warm authored lights distinguish safe stops. Fish and shoreline creatures give the channel life. Players establish docks, repair a short towpath, and choose between boat travel and shelf routes. Currents or rapids belong to clearly bounded encounters. The river can support repeat logistics once crossings and landings are secured.</w:t>
      </w:r>
    </w:p>
    <w:p>
      <w:pPr/>
      <w:r>
        <w:rPr>
          <w:b/>
        </w:rPr>
        <w:t>Echoquartz Fields.</w:t>
      </w:r>
      <w:r>
        <w:t xml:space="preserve"> Pale outer crystal growth surrounds smoky cores with quiet internal lines, occupying fractures and isolated fans within dark rock. The proposed material, resonant quartz, gives selected interactions a soft audible response without turning the whole biome into a continuous chime. Crystal silhouettes reveal otherwise obscure steps and openings. Players trace signal changes, recover useful pieces, and protect larger formations when preferred harvesting methods become available. Exposed ledges and disorienting overlapping sound provide challenge. A plain stone pocket outside the densest field offers relief and refuge.</w:t>
      </w:r>
    </w:p>
    <w:p>
      <w:pPr/>
      <w:r>
        <w:rPr>
          <w:b/>
        </w:rPr>
        <w:t>Dustroad Expanse.</w:t>
      </w:r>
      <w:r>
        <w:t xml:space="preserve"> Broad dry floors, scattered pillars, shallow gullies, and distant wall shelves create one of the first places that feels like underground countryside. Drifting dust remains localized and readable. Sparse tough plants and moving animal groups occupy islands of shelter. Players establish route markers, restore a rest stop, and scout across meaningful distances. The rewards are room for controlled settlement projects, transport infrastructure, and resource satellites. Getting lost is mitigated by distinctive skyline forms and visible wayfinding structures.</w:t>
      </w:r>
    </w:p>
    <w:p>
      <w:pPr>
        <w:pStyle w:val="Heading3"/>
      </w:pPr>
      <w:r>
        <w:t>Settlement authored route and continuing value</w:t>
      </w:r>
    </w:p>
    <w:p>
      <w:pPr/>
      <w:r>
        <w:t xml:space="preserve">The signature anchor is an </w:t>
      </w:r>
      <w:r>
        <w:rPr>
          <w:b/>
        </w:rPr>
        <w:t>Underreach Junction</w:t>
      </w:r>
      <w:r>
        <w:t>, a planned settlement framework positioned where two useful routes meet. Its controller builds approved stages for a receiving yard, workshop, common refuge, storage hall, and regional transport connection. The settlement develops through discrete jobs and supplied projects; it does not require unrestricted autonomous town generation.</w:t>
      </w:r>
    </w:p>
    <w:p>
      <w:pPr/>
      <w:r>
        <w:t xml:space="preserve">The principal expedition is a </w:t>
      </w:r>
      <w:r>
        <w:rPr>
          <w:b/>
        </w:rPr>
        <w:t>Three-Landing Supply Route</w:t>
      </w:r>
      <w:r>
        <w:t>, linking the Junction, a river landing, and a ridge mine. Each stop solves a different practical problem. A broken crossing needs materials; a blocked storehouse needs a controlled route opened; a workshop needs a specialist capability acquired elsewhere. Finishing the route changes access and local production in visible ways.</w:t>
      </w:r>
    </w:p>
    <w:p>
      <w:pPr/>
      <w:r>
        <w:t>Repeat visits concern useful operations: collecting a defined output, choosing a new construction project, supplying another expedition, or exploring an unconnected district. A repaired lift or connected transport hub shortens the return journey to the Shallows while preserving the Underreach as an active destination.</w:t>
      </w:r>
    </w:p>
    <w:p>
      <w:pPr>
        <w:pStyle w:val="Heading3"/>
      </w:pPr>
      <w:r>
        <w:t>A sample expedition</w:t>
      </w:r>
    </w:p>
    <w:p>
      <w:pPr/>
      <w:r>
        <w:t>Across the Dustroad, the player sees a line of lamps that ends at a broken span. Beyond it lies a receiving yard with clearly marked unfinished foundations. Supplying the bridge reopens the first leg of the route. A later trip arrives by river with ore from Ironfold country. The geography now makes economic sense because the player has physically connected its places.</w:t>
      </w:r>
    </w:p>
    <w:p>
      <w:pPr/>
      <w:r>
        <w:rPr>
          <w:b/>
        </w:rPr>
        <w:t>Later image subjects:</w:t>
      </w:r>
      <w:r>
        <w:t xml:space="preserve"> Underreach Junction against a broad dark landscape; Ironfold survey and mine; Saltmirror shore with clear route cues; Blackriver dock arrival; Echoquartz close-up and navigable field; Dustroad wayfinding at expedition scale; supply route before and after its bridge project. Show people-sized functional spaces within the large environment.</w:t>
      </w:r>
    </w:p>
    <w:p>
      <w:bookmarkStart w:id="9" w:name="chapter_09"/>
      <w:pPr>
        <w:pStyle w:val="Heading1"/>
      </w:pPr>
      <w:r>
        <w:t>Abyss</w:t>
      </w:r>
      <w:bookmarkEnd w:id="9"/>
    </w:p>
    <w:p>
      <w:pPr>
        <w:pStyle w:val="Heading3"/>
      </w:pPr>
      <w:r>
        <w:t>Identity and first impression</w:t>
      </w:r>
    </w:p>
    <w:p>
      <w:pPr/>
      <w:r>
        <w:t>The Abyss introduces the strongest sensation of depth through voids, partial sightlines, suspended routes, and large dark water bodies. Its character is wonder edged with caution. The player should feel prepared enough to attempt the journey and aware that an exposed crossing deserves attention.</w:t>
      </w:r>
    </w:p>
    <w:p>
      <w:pPr/>
      <w:r>
        <w:t>Darkness creates composition, not a constant inability to play. Near surfaces remain readable; distant walls emerge through mist, sparse lights, or deliberate vantage points. There are places to rest, beautiful scenes to observe, and useful discoveries beyond combat. The realm does not require gore, relentless pursuit, or a horror-game tone.</w:t>
      </w:r>
    </w:p>
    <w:p>
      <w:pPr>
        <w:pStyle w:val="Heading3"/>
      </w:pPr>
      <w:r>
        <w:t>Regional experiences</w:t>
      </w:r>
    </w:p>
    <w:p>
      <w:pPr/>
      <w:r>
        <w:rPr>
          <w:b/>
        </w:rPr>
        <w:t>Pillarfall Reaches.</w:t>
      </w:r>
      <w:r>
        <w:t xml:space="preserve"> Massive irregular columns and isolated wall shelves divide a deep cavity. Broken arches and hanging mineral shapes create a recognizable skyline. Pale deposits catch player light; moisture gathers on sheltered sides. Small gliding or climbing creatures demonstrate possible routes without serving as automatic guides. Players bridge short spans, descend through connected shelves, and secure observation points. Valuable seams and a route toward a lower basin reward exploration. Broad column shoulders provide reliable camps above the exposure.</w:t>
      </w:r>
    </w:p>
    <w:p>
      <w:pPr/>
      <w:r>
        <w:rPr>
          <w:b/>
        </w:rPr>
        <w:t>Stillsea Basin.</w:t>
      </w:r>
      <w:r>
        <w:t xml:space="preserve"> A large underground lake contains dark open water, quiet coves, exposed rock islands, and submerged terraces. Sparse luminous life defines portions of the shoreline rather than illuminating everything. The player learns the lake through docks, sound, and island silhouettes. Preparation supports diving routes, shore exploration, and boat travel. Rewards include submerged archives, mineral beds, and cross-region access. Deep water remains dangerous without appropriate supplies, while several islands offer comfortable staging sites.</w:t>
      </w:r>
    </w:p>
    <w:p>
      <w:pPr/>
      <w:r>
        <w:rPr>
          <w:b/>
        </w:rPr>
        <w:t>Moonmilk Shelves.</w:t>
      </w:r>
      <w:r>
        <w:t xml:space="preserve"> Pale flowing-looking mineral forms spread across dark walls and create terraces of contrasting texture. Cool soft light comes from occasional crystal pockets and the player's equipment. Water seeps through shallow grooves; small organisms gather in protected wet niches. Players climb deliberate shelf routes, collect selected mineral material, and uncover side passages concealed by unusual wall shape. Narrow crossings are the main hazard. A large pale balcony acts as a memorable refuge and a visible homeward landmark.</w:t>
      </w:r>
    </w:p>
    <w:p>
      <w:pPr/>
      <w:r>
        <w:rPr>
          <w:b/>
        </w:rPr>
        <w:t>Whisper Chasms.</w:t>
      </w:r>
      <w:r>
        <w:t xml:space="preserve"> Interconnected narrow clefts open unexpectedly onto larger spaces. Dark stone ribs, sparse crystals, mist caught in constrictions, and intermittent trickles make distance difficult to judge. The region uses directional environmental sound to support exploration. Players place markers, compare parallel routes, and locate a sheltered passage through the fracture network. Certain branches contain territorial creatures, clearly indicated by nesting material and movement. Useful mineral pockets and a major traversal shortcut reward systematic exploration.</w:t>
      </w:r>
    </w:p>
    <w:p>
      <w:pPr/>
      <w:r>
        <w:rPr>
          <w:b/>
        </w:rPr>
        <w:t>Drowned Stair Country.</w:t>
      </w:r>
      <w:r>
        <w:t xml:space="preserve"> Broken natural terraces descend through successive water levels and dry ledges. Old authored platforms can occupy suitable points, giving the impression of an earlier survey route. Water plants and small aquatic life inhabit the upper pools; lower chambers become sparse. Players alternate walking, controlled diving, and repairing short connections. Finite flooded rooms contain optional salvage and environmental stories. The route’s reward is a protected descent toward deeper thermal country and a newly secured return passage.</w:t>
      </w:r>
    </w:p>
    <w:p>
      <w:pPr>
        <w:pStyle w:val="Heading3"/>
      </w:pPr>
      <w:r>
        <w:t>Settlement authored route and continuing value</w:t>
      </w:r>
    </w:p>
    <w:p>
      <w:pPr/>
      <w:r>
        <w:t xml:space="preserve">The signature structure is an </w:t>
      </w:r>
      <w:r>
        <w:rPr>
          <w:b/>
        </w:rPr>
        <w:t>Abyss Beacon Refuge</w:t>
      </w:r>
      <w:r>
        <w:t>, a compact and unmistakable safe place on a substantial dry shelf. Its staged construction establishes a protected interior, a visible lamp or beacon, reserve supplies, a survey balcony, and an eventual traversal connection. The beacon guides only across its local region. It does not magically reveal the entire underground map.</w:t>
      </w:r>
    </w:p>
    <w:p>
      <w:pPr/>
      <w:r>
        <w:t xml:space="preserve">The authored expedition is a </w:t>
      </w:r>
      <w:r>
        <w:rPr>
          <w:b/>
        </w:rPr>
        <w:t>Far-Shelf Survey</w:t>
      </w:r>
      <w:r>
        <w:t>, taking the player from refuge to a visible distant platform through several route choices. They recover a practical survey component or record, secure an intermediate landing, and open a return link. The emotional payoff is looking back across the space and recognizing their own illuminated chain of safe places.</w:t>
      </w:r>
    </w:p>
    <w:p>
      <w:pPr/>
      <w:r>
        <w:t>Later visits use better mobility, diving preparation, and survey equipment to reach optional islands, high shelves, and drowned rooms. The Abyss supplies distinctive materials and routes, while its restored refuge becomes a quiet retreat for players who enjoy building in extraordinary settings.</w:t>
      </w:r>
    </w:p>
    <w:p>
      <w:pPr>
        <w:pStyle w:val="Heading3"/>
      </w:pPr>
      <w:r>
        <w:t>A sample expedition</w:t>
      </w:r>
    </w:p>
    <w:p>
      <w:pPr/>
      <w:r>
        <w:t>The player reaches the Beacon Refuge after a narrow descent. Across the cavity, a pale shelf appears whenever distant water catches the light. They follow the marked first crossing, add their own bridge at the second, and set up a supply point on a column shoulder. The return view reveals three lights where there was once only distance. The achievement is a route made understandable.</w:t>
      </w:r>
    </w:p>
    <w:p>
      <w:pPr/>
      <w:r>
        <w:rPr>
          <w:b/>
        </w:rPr>
        <w:t>Later image subjects:</w:t>
      </w:r>
      <w:r>
        <w:t xml:space="preserve"> first Abyss reveal with a readable foreground; Pillarfall route at player height; Stillsea boat approaching a refuge island; Moonmilk balcony; Whisper Chasms navigation; Drowned Stair surface-and-underwater encounter; Beacon Refuge seen from the far shelf. Include a warm interior scene to establish the emotional importance of shelter.</w:t>
      </w:r>
    </w:p>
    <w:p>
      <w:bookmarkStart w:id="10" w:name="chapter_10"/>
      <w:pPr>
        <w:pStyle w:val="Heading1"/>
      </w:pPr>
      <w:r>
        <w:t>Mantle</w:t>
      </w:r>
      <w:bookmarkEnd w:id="10"/>
    </w:p>
    <w:p>
      <w:pPr>
        <w:pStyle w:val="Heading3"/>
      </w:pPr>
      <w:r>
        <w:t>Identity and first impression</w:t>
      </w:r>
    </w:p>
    <w:p>
      <w:pPr/>
      <w:r>
        <w:t>The Mantle is SUBSTELLAR’s fictional thermal realm: heated stone country, active fissures, vents, dark cooling formations, and pockets of persistent life. The name communicates an environment and progression stage rather than a literal geophysical model.</w:t>
      </w:r>
    </w:p>
    <w:p>
      <w:pPr/>
      <w:r>
        <w:t>The player feels the world becoming powerful and physically demanding. Warmth and danger have identifiable sources. Solid ground, protected work areas, and cooler pockets provide a steady rhythm between exposure and relief. Visual variety matters: glowing flows are a strong accent within broader stone landscapes, so every screenshot does not become a wall of orange.</w:t>
      </w:r>
    </w:p>
    <w:p>
      <w:pPr>
        <w:pStyle w:val="Heading3"/>
      </w:pPr>
      <w:r>
        <w:t>Regional experiences</w:t>
      </w:r>
    </w:p>
    <w:p>
      <w:pPr/>
      <w:r>
        <w:rPr>
          <w:b/>
        </w:rPr>
        <w:t>Basalt Steps.</w:t>
      </w:r>
      <w:r>
        <w:t xml:space="preserve"> Broad dark terraces and broken column formations descend beside clearly contained hot channels. Matte stone, fresh fracture faces, faintly lit cracks, and isolated mineral deposits create a restrained palette. Sparse heat-adapted life stays near cooler margins. Players choose broad safe stairs or shorter exposed crossings, collect abundant structural stone, and survey higher-value seams. A recessed terrace behind a thick rock rib offers a defensible workshop site.</w:t>
      </w:r>
    </w:p>
    <w:p>
      <w:pPr/>
      <w:r>
        <w:rPr>
          <w:b/>
        </w:rPr>
        <w:t>Ember Gardens.</w:t>
      </w:r>
      <w:r>
        <w:t xml:space="preserve"> Warm sheltered basins support tough, luminous growth around shallow mineral pools and small vents. Deep reds, gold accents, dark stems, and pale mineral rims distinguish this life from the Deepwilds. Local creatures browse in cooler pockets. Players cultivate useful ingredients, observe a vent’s readable cycle, and restore a protected garden enclosure. Hazards stay close to visible sources. The region rewards patient harvesting and supplies materials that support travel and habitation in thermal environments.</w:t>
      </w:r>
    </w:p>
    <w:p>
      <w:pPr/>
      <w:r>
        <w:rPr>
          <w:b/>
        </w:rPr>
        <w:t>Ashen Hollows.</w:t>
      </w:r>
      <w:r>
        <w:t xml:space="preserve"> Quiet dry chambers contain pale dust deposits, layered banks, dark rock islands, and the traces of inactive heat channels. Light is mainly player-provided, with occasional warm seams in the distance. Little life occupies the open ground. Designated soft banks can shift locally when disturbed, while stable ledges remain obvious. Players survey buried side rooms, recover mineral additives, and establish sheltered storage. The atmosphere offers deliberate quiet between more active districts.</w:t>
      </w:r>
    </w:p>
    <w:p>
      <w:pPr/>
      <w:r>
        <w:rPr>
          <w:b/>
        </w:rPr>
        <w:t>Redglass Margins.</w:t>
      </w:r>
      <w:r>
        <w:t xml:space="preserve"> Black glassy surfaces and red-brown fractured stone frame cooled flow shapes near active fissures. Bright reflections create strong edges under moving light. Steam collects only near specific water contacts, and life is sparse. Players collect volcanic glass for approved processing uses, investigate exposed mineral pockets, and plan routes across difficult angular ground. Active fissures are legible and bypassable. A high ridge gives a spectacular view and a safe camp with limited construction space.</w:t>
      </w:r>
    </w:p>
    <w:p>
      <w:pPr/>
      <w:r>
        <w:rPr>
          <w:b/>
        </w:rPr>
        <w:t>Steamvaults.</w:t>
      </w:r>
      <w:r>
        <w:t xml:space="preserve"> Large roof pockets enclose warm pools, mineral chimneys, wet stone bridges, and clearly readable vent openings. White mist creates shifting local views; cool light on wet rock balances nearby warm sources. Small organisms inhabit protected pools. Players observe vent cycles, restore a shielded passage, and collect region-specific processing ingredients. Alternate routes let cautious players trade time for reduced exposure. A sealed dry gallery suitable for a refuge anchors the district.</w:t>
      </w:r>
    </w:p>
    <w:p>
      <w:pPr>
        <w:pStyle w:val="Heading3"/>
      </w:pPr>
      <w:r>
        <w:t>Settlement authored route and continuing value</w:t>
      </w:r>
    </w:p>
    <w:p>
      <w:pPr/>
      <w:r>
        <w:t xml:space="preserve">The signature anchor is a </w:t>
      </w:r>
      <w:r>
        <w:rPr>
          <w:b/>
        </w:rPr>
        <w:t>Mantle Works</w:t>
      </w:r>
      <w:r>
        <w:t>, an authored industrial shelter occupying a cooler rock pocket near useful thermal terrain. Its staged projects add protected access, a materials yard, workshop equipment, a controlled processing area, and a comfortable refuge. Any thermal-powered production uses explicit placed machinery and visible local connections; the whole realm does not function as an abstract free-power source.</w:t>
      </w:r>
    </w:p>
    <w:p>
      <w:pPr/>
      <w:r>
        <w:t xml:space="preserve">The associated expedition is a </w:t>
      </w:r>
      <w:r>
        <w:rPr>
          <w:b/>
        </w:rPr>
        <w:t>Thermal Survey Circuit</w:t>
      </w:r>
      <w:r>
        <w:t xml:space="preserve"> connecting an inactive channel, an active vent district, and a secure overlook toward the Heart approaches. Each site teaches a different environmental cue. A project can add shielding or a short protected walkway where the terrain supports it. The return route eventually reaches the Works without repeating the most demanding exposed section.</w:t>
      </w:r>
    </w:p>
    <w:p>
      <w:pPr/>
      <w:r>
        <w:t>Players revisit for substantial building material, specialist processing, cultivation from Ember Gardens, and unfinished industrial projects. Better preparation expands comfortable operating time and route choice. Deep progress should also improve everyday construction and transport in earlier settlements.</w:t>
      </w:r>
    </w:p>
    <w:p>
      <w:pPr>
        <w:pStyle w:val="Heading3"/>
      </w:pPr>
      <w:r>
        <w:t>A sample expedition</w:t>
      </w:r>
    </w:p>
    <w:p>
      <w:pPr/>
      <w:r>
        <w:t>The first warm chamber contains mostly black stone. A narrow orange reflection under the far ledge reveals the active channel. The player follows the broad outer stairs to a sheltered materials yard, then watches steam pulse across the shorter route. After restoring a shielding section, they carry a recovered component through a passage they helped make dependable. Thermal country becomes workable without losing its scale.</w:t>
      </w:r>
    </w:p>
    <w:p>
      <w:pPr/>
      <w:r>
        <w:rPr>
          <w:b/>
        </w:rPr>
        <w:t>Later image subjects:</w:t>
      </w:r>
      <w:r>
        <w:t xml:space="preserve"> broad Basalt Steps with restrained lava accents; Ember Garden harvesting; quiet Ashen Hollow survey; Redglass reflected light and footing; Steamvault route during two vent states; Mantle Works interior and exterior; protected return walkway above an active channel. Show usable cool pockets and varied palettes as clearly as the heat.</w:t>
      </w:r>
    </w:p>
    <w:p>
      <w:bookmarkStart w:id="11" w:name="chapter_11"/>
      <w:pPr>
        <w:pStyle w:val="Heading1"/>
      </w:pPr>
      <w:r>
        <w:t>Core</w:t>
      </w:r>
      <w:bookmarkEnd w:id="11"/>
    </w:p>
    <w:p>
      <w:pPr>
        <w:pStyle w:val="Heading3"/>
      </w:pPr>
      <w:r>
        <w:t>Identity and first impression</w:t>
      </w:r>
    </w:p>
    <w:p>
      <w:pPr/>
      <w:r>
        <w:t>The Core is the culmination of Earth’s underground journey: a fictional Heart region within the world’s deep-crustal adventure space. Its significance comes from what players discover, connect, and choose to build. It does not portray a planet’s physical center, nor require a hollow spherical world.</w:t>
      </w:r>
    </w:p>
    <w:p>
      <w:pPr/>
      <w:r>
        <w:t>The atmosphere moves from strain toward profound stillness and strange beauty. Dark stone gives way to selected luminous material, suspended-looking mineral forms supported by visible terrain, unusually clear water pockets, and habitats whose relationship to the surface is mysterious. The realm needs ordinary footing and intelligible routes within its exceptional scenery. Players arrive to a place they can inhabit and investigate.</w:t>
      </w:r>
    </w:p>
    <w:p>
      <w:pPr>
        <w:pStyle w:val="Heading3"/>
      </w:pPr>
      <w:r>
        <w:t>Regional experiences</w:t>
      </w:r>
    </w:p>
    <w:p>
      <w:pPr/>
      <w:r>
        <w:rPr>
          <w:b/>
        </w:rPr>
        <w:t>Heartglass Groves.</w:t>
      </w:r>
      <w:r>
        <w:t xml:space="preserve"> Sparse mineral structures rise from dark ground in recognizable clusters. Heartglass is dark in thick formations and translucent at thin edges, with restrained warm internal planes and a few brighter nodes. Spaces between formations remain calm. Small pools and slow-moving life gather around protected bases. Players survey patterns, recover limited material through a deliberate harvesting process, and identify safe paths through fragile-looking clusters. Rewards support distinctive deep-world equipment and research projects. A plain stone clearing provides a naturally comfortable camp.</w:t>
      </w:r>
    </w:p>
    <w:p>
      <w:pPr/>
      <w:r>
        <w:rPr>
          <w:b/>
        </w:rPr>
        <w:t>Pale Resonance Fields.</w:t>
      </w:r>
      <w:r>
        <w:t xml:space="preserve"> Pale mineral ribs and crystal seams spread across broad shelves, creating a strong rhythmic landscape. Soft tones and visual responses occur at selected interactive formations, giving the player something to investigate without constant audiovisual noise. Water is limited to sheltered basins, and life remains sparse. Players compare responses, connect a small sequence of survey points, and recover information needed for an authored project. The hazard is exposed footing and occasional unstable local formations, clearly bounded in play.</w:t>
      </w:r>
    </w:p>
    <w:p>
      <w:pPr/>
      <w:r>
        <w:rPr>
          <w:b/>
        </w:rPr>
        <w:t>Stillwater Sanctuaries.</w:t>
      </w:r>
      <w:r>
        <w:t xml:space="preserve"> Exceptionally clear pools fill quiet chambers edged with pale stone and restrained luminous plants. Reflections reveal roof forms that are difficult to see directly. Peaceful aquatic life gives the place a feeling of continuity with earlier waters. Players cultivate an approved rare plant, document the habitat through in-game exploration systems, and establish a sheltered research landing. Difficult submerged side routes remain optional. The primary rewards are a secure home in the deepest region, distinct living materials, and an emotionally generous resting place.</w:t>
      </w:r>
    </w:p>
    <w:p>
      <w:pPr/>
      <w:r>
        <w:rPr>
          <w:b/>
        </w:rPr>
        <w:t>Blackroot Islands.</w:t>
      </w:r>
      <w:r>
        <w:t xml:space="preserve"> Dark rootlike mineral and biological structures occupy separated stone islands above a shallow glowing substrate or deeply recessed fissure system. Bridges and shorelike paths create different approaches. Light comes mainly from below and from sparse growth, making silhouettes memorable. Territorial life occupies specific nesting islands. Players follow a multi-stop expedition, restore short authored connections, and locate a protected archive chamber. Valuable materials and a new understanding of Earth’s hidden relationships reward preparation.</w:t>
      </w:r>
    </w:p>
    <w:p>
      <w:pPr/>
      <w:r>
        <w:rPr>
          <w:b/>
        </w:rPr>
        <w:t>The Heart Chamber.</w:t>
      </w:r>
      <w:r>
        <w:t xml:space="preserve"> An uncommon major regional landmark combines natural enclosing forms with space for the Earth chapter destination. At least one supported reachable campaign placement is required; uncommon does not mean absent from an unlucky world. A concentrated central formation provides visual focus, while surrounding shelves, quiet pools, and side chambers create actual exploration. Ambient light remains calm enough for player-built lamps to matter. The main route joins survey, practical restoration, and a meaningful discovery; combat may be one encounter type, not the definition of arrival. The outcome opens future ambitions while leaving Earth a continuing home.</w:t>
      </w:r>
    </w:p>
    <w:p>
      <w:pPr>
        <w:pStyle w:val="Heading3"/>
      </w:pPr>
      <w:r>
        <w:t>Settlement authored route and continuing value</w:t>
      </w:r>
    </w:p>
    <w:p>
      <w:pPr/>
      <w:r>
        <w:t xml:space="preserve">The signature structure is a </w:t>
      </w:r>
      <w:r>
        <w:rPr>
          <w:b/>
        </w:rPr>
        <w:t>Heart Observatory</w:t>
      </w:r>
      <w:r>
        <w:t>, a modest, carefully placed expedition base with a view into the region. Its project stages provide a sheltered landing, survey instruments, protected storage, a living-material enclosure, and a reliable return connection. The structure should feel achievable through the network the player has already established. Building it is evidence that the long Earth journey produced a capable community and useful infrastructure.</w:t>
      </w:r>
    </w:p>
    <w:p>
      <w:pPr/>
      <w:r>
        <w:t xml:space="preserve">The principal expedition, </w:t>
      </w:r>
      <w:r>
        <w:rPr>
          <w:b/>
        </w:rPr>
        <w:t>The Heartward Route</w:t>
      </w:r>
      <w:r>
        <w:t>, uses several contrasting habitats before reaching the major chapter destination. It brings together learned abilities: surveying a seam or signal, cultivating or carrying the right preparation, making a crossing, restoring a project, and returning with discoveries. Established story characters and chapters supply its emotional meaning when incorporated; this atlas does not invent replacements.</w:t>
      </w:r>
    </w:p>
    <w:p>
      <w:pPr/>
      <w:r>
        <w:t>The Core supports optional research, distinctive construction materials, secluded homes, unusual cultivation, and unfinished lateral regions. Its discoveries may motivate later spaceflight, but the first launch should emerge from the complete surface-to-depth network rather than render that network obsolete.</w:t>
      </w:r>
    </w:p>
    <w:p>
      <w:pPr>
        <w:pStyle w:val="Heading3"/>
      </w:pPr>
      <w:r>
        <w:t>A sample expedition</w:t>
      </w:r>
    </w:p>
    <w:p>
      <w:pPr/>
      <w:r>
        <w:t>After the Mantle’s active passages, the player enters a quiet chamber where pale forms reflect in clear water. The distant Heart formation is visible through a series of stone ribs. Their first task is simple: establish the Observatory’s safe landing and connect it to the route behind them. Later, returning from the Heart Chamber, they see familiar project-built lamps against the strange terrain. Earth now feels larger because they understand more of it.</w:t>
      </w:r>
    </w:p>
    <w:p>
      <w:pPr/>
      <w:r>
        <w:rPr>
          <w:b/>
        </w:rPr>
        <w:t>Later image subjects:</w:t>
      </w:r>
      <w:r>
        <w:t xml:space="preserve"> first quiet Core reveal; Heartglass Grove from player height and close up; Pale Resonance survey interaction; Stillwater Sanctuary with a small lived-in base; Blackroot multi-island crossing; Heart Chamber wide view and playable foreground; Observatory return arrival. The visual climax should express scale, beauty, and earned belonging without covering the screen in effects.</w:t>
      </w:r>
    </w:p>
    <w:p>
      <w:pPr>
        <w:pStyle w:val="Heading2"/>
      </w:pPr>
      <w:r>
        <w:t>Cross realm experience rules</w:t>
      </w:r>
    </w:p>
    <w:p>
      <w:pPr>
        <w:pStyle w:val="Heading3"/>
      </w:pPr>
      <w:r>
        <w:t>The boundary is a place</w:t>
      </w:r>
    </w:p>
    <w:p>
      <w:pPr/>
      <w:r>
        <w:t>Transitions deserve specific design. The Shallows-to-Deepwilds boundary can follow increasingly dense roots into a living basin. Deepwilds-to-Underreach can pass through a dry forest edge overlooking a worked river landing. Underreach-to-Abyss can make a familiar transport gallery suddenly reveal open distance. Abyss-to-Mantle can follow warm seepage along a safe lower shelf. Mantle-to-Core can trade active sound and fractured ground for stillness, clearer water, and more deliberate forms.</w:t>
      </w:r>
    </w:p>
    <w:p>
      <w:pPr/>
      <w:r>
        <w:t>These transitions occupy playable territory. Players gather clues, make camp, and decide whether to proceed. A realm title or ambient cue may confirm the change, but the terrain and experience should establish it first. More than one transition form should exist for each neighboring pair, preventing every seed from delivering the same entrance scene.</w:t>
      </w:r>
    </w:p>
    <w:p>
      <w:pPr>
        <w:pStyle w:val="Heading3"/>
      </w:pPr>
      <w:r>
        <w:t>Expeditions have a satisfying shape</w:t>
      </w:r>
    </w:p>
    <w:p>
      <w:pPr/>
      <w:r>
        <w:t>A strong expedition starts with a reason to leave, offers a navigational question, reveals something worth the journey, and leaves the player with a useful change. That change can be a capability, a new material source, a restored service, a cultivated species, a secure route, or a place they want to live. A small discovery should be allowed to remain small and personal.</w:t>
      </w:r>
    </w:p>
    <w:p>
      <w:pPr/>
      <w:r>
        <w:t>Long journeys need intermediate rest, visible progress, and practical recovery. Loss should create a comprehensible retrieval problem within ordinary game rules. Essential equipment should have replaceable paths. Completing a new transport connection is a substantial reward because it transforms the next journey without shrinking the world into a menu.</w:t>
      </w:r>
    </w:p>
    <w:p>
      <w:pPr>
        <w:pStyle w:val="Heading3"/>
      </w:pPr>
      <w:r>
        <w:t>Each region supports several kinds of player</w:t>
      </w:r>
    </w:p>
    <w:p>
      <w:pPr/>
      <w:r>
        <w:t>Explorers seek views, routes, habitats, and unusual variants. Builders seek material palettes, stable sites, and structures they can grow around. Resource-focused players seek deposits and efficient local logistics. Guided-adventure players seek authored projects and a clear next purpose. Social groups seek bases with enough room and useful roles for several people.</w:t>
      </w:r>
    </w:p>
    <w:p>
      <w:pPr/>
      <w:r>
        <w:t>The same region can serve these motivations through different spaces. A dramatic landmark can coexist with a plain building terrace and a practical mine. Free-building locations should appear in the atlas’s image set alongside authored structures so that the eventual visual direction does not imply the world is only meant to be admired.</w:t>
      </w:r>
    </w:p>
    <w:p>
      <w:bookmarkStart w:id="12" w:name="chapter_12"/>
      <w:pPr>
        <w:pStyle w:val="Heading1"/>
      </w:pPr>
      <w:r>
        <w:t>Settlements and authored adventures</w:t>
      </w:r>
      <w:bookmarkEnd w:id="12"/>
    </w:p>
    <w:p>
      <w:pPr>
        <w:pStyle w:val="Heading2"/>
      </w:pPr>
      <w:r>
        <w:t>Direction and status</w:t>
      </w:r>
    </w:p>
    <w:p>
      <w:pPr/>
      <w:r>
        <w:t>SUBSTELLAR should make a place worth returning to. Its progression is more satisfying when the player descends from a home they understand, brings back something useful, and sees that discovery change the lives and possibilities around them. Settlements give purpose to resources without reducing the world to a shopping list. Characters make routes and buildings memorable without requiring an uncontrolled social simulation. Authored projects let the player participate in beautiful, functional construction without making architectural skill a prerequisite for seeing the full experience.</w:t>
      </w:r>
    </w:p>
    <w:p>
      <w:pPr/>
      <w:r>
        <w:t>This section preserves the approved Project Vanilla foundation within SUBSTELLAR: a guided survival adventure, useful player-developed settlements, a living world, connected adventures, optional free building, deterministic systems, and pausable regional activity. The five Old Valley chapters retain their established sequence and purposes. New structure examples, interface details, ownership rules, project states, and later adventures below are proposed product direction for review. Role labels preserve character functions; they do not replace names or biographies established elsewhere.</w:t>
      </w:r>
    </w:p>
    <w:p>
      <w:pPr/>
      <w:r>
        <w:t>The player's central rhythm is to notice a possibility, learn what a place needs, choose a manageable project, gather or discover its requirements, help it take shape, and use the result to reach somewhere new. A repaired crossing changes actual travel. A workshop turns discoveries into new options. A refuge changes how confidently the player explores a difficult layer. An outpost makes a distant world inhabitable enough to understand. Progress should remain visible even when the player has forgotten the last conversation.</w:t>
      </w:r>
    </w:p>
    <w:p>
      <w:pPr>
        <w:pStyle w:val="Heading2"/>
      </w:pPr>
      <w:r>
        <w:t>What an authored settlement means</w:t>
      </w:r>
    </w:p>
    <w:p>
      <w:pPr/>
      <w:r>
        <w:t>A managed settlement consists of a deliberately composed set of possible buildings, routes, spaces, residents, and project stages. Its landscape can differ between worlds, but the project knows the area in which it is allowed to operate. It has approved placement conditions and limited alternatives for adapting to terrain. It does not invent an entire town by interpreting whatever happens to exist nearby.</w:t>
      </w:r>
    </w:p>
    <w:p>
      <w:pPr/>
      <w:r>
        <w:t>The Old Valley should feel like a valley discovered in this particular seed. Its bridge, quarry, guesthouse, work areas, and public gathering place nevertheless follow a legible authored relationship. Generation reserves enough space for those relationships to function. Where terrain cannot support an optional site safely, the system uses a supported alternative placement or omits that optional site. Required campaign anchors, including Old Valley and the intended Heart destination, must have at least one supported reachable placement in the playable campaign. A rare principal landmark can be regionally uncommon without being absent from an unlucky world. It must not bury a vital doorway, suspend a market over an accidental ravine, or solve an impossible slope by erasing the surrounding landscape.</w:t>
      </w:r>
    </w:p>
    <w:p>
      <w:pPr/>
      <w:r>
        <w:t>Completed structures have recognizable silhouettes, interiors, practical access, and a consistent local building language. The player can see the difference between an unfinished frame and a working building. Construction stages are designed as scenes in their own right: foundation markers, stacked materials, exposed beams, occupied work areas, and finally the signs of everyday use. A completed workshop should contain an accessible workbench and useful services; its value cannot exist only in a journal checkbox.</w:t>
      </w:r>
    </w:p>
    <w:p>
      <w:pPr/>
      <w:r>
        <w:t>The authored project is a foundation for participation. Free building remains a complete, valid way to live in the world. A player can build an unusual home, carve a personal workshop, establish farms, decorate a settlement's permitted areas, and connect places with their own infrastructure. Those creations remain theirs. Managed projects claim only clearly shown footprints and connections, and they never assume that every nearby player block is available to replace.</w:t>
      </w:r>
    </w:p>
    <w:p>
      <w:pPr>
        <w:pStyle w:val="Heading2"/>
      </w:pPr>
      <w:r>
        <w:t>Regional activity and the promise of pause</w:t>
      </w:r>
    </w:p>
    <w:p>
      <w:pPr/>
      <w:r>
        <w:t>An authored region has a saved dimension, a horizontal circular boundary, and explicit lower and upper vertical bounds. This makes its activity envelope understandable while allowing surface and underground communities to occupy the same horizontal location without activating one another by accident. The exact radius and heights depend on the site's purpose and require later playtesting. They should appear in a region inspection view whenever a player needs to understand why a project is active.</w:t>
      </w:r>
    </w:p>
    <w:p>
      <w:pPr/>
      <w:r>
        <w:t>A visible transitional band, provisionally about sixteen blocks wide, marks the approach to an activity boundary when boundary display is requested or a relevant transition is happening. It should be readable without permanently covering the landscape in lines. The journal can explain the same region in plain language. The band exists to communicate a transition; it must not hide an unpredictable delay before pausing. The exact activation threshold and any threshold smoothing remain tuning decisions.</w:t>
      </w:r>
    </w:p>
    <w:p>
      <w:pPr/>
      <w:r>
        <w:t>When the last eligible participating player leaves that region's dimension or vertical and horizontal bounds, its authored activity pauses. Construction, production, visitor progression, settlement timers, and authored encounters retain their state. A partly assembled roof remains partly assembled. A market does not occur while everybody is away. Supplies are not silently consumed by a simulation the player cannot influence. Returning continues the same activity from a coherent point without granting a catch-up pile of products.</w:t>
      </w:r>
    </w:p>
    <w:p>
      <w:pPr/>
      <w:r>
        <w:t>This is a promise about SUBSTELLAR's managed systems, not all Minecraft simulation. Ordinary world behavior, other players' activity, unrelated entities, and other systems do not become universally frozen. The interface must describe the actual guarantee accurately. If a managed refuge needs a stable power reserve to maintain its authored life-support service, that service must remain internally consistent with the pause model rather than depending on an unpaused timer that can destroy the refuge during absence.</w:t>
      </w:r>
    </w:p>
    <w:p>
      <w:pPr/>
      <w:r>
        <w:t>For cooperative play, participation should be explicit. A player joins a regional project or settlement through its board or invitation. An owner can also enable a clearly explained shared-group participation mode. A nonparticipating visitor flying past must not unexpectedly resume a market, consume settlement inputs, or start an encounter for an absent owner. A participating player can intentionally keep the region active while others travel. Everyone with project access can inspect who is currently sustaining activity.</w:t>
      </w:r>
    </w:p>
    <w:p>
      <w:pPr/>
      <w:r>
        <w:t>Pausing cannot be an automatic victory button during danger. When an authored encounter pauses, it preserves its opponents, objectives, and committed consequences; leaving and returning does not reroll its rewards or reset it to an easier favorable state. A retreat may return the encounter to a specifically authored safe checkpoint when that encounter calls for one, but this behavior is visible and consistent. No new attack, visitor loss, or resource debt accumulates in a paused region.</w:t>
      </w:r>
    </w:p>
    <w:p>
      <w:bookmarkStart w:id="13" w:name="chapter_13"/>
      <w:pPr>
        <w:pStyle w:val="Heading1"/>
      </w:pPr>
      <w:r>
        <w:t>Old Valley</w:t>
      </w:r>
      <w:bookmarkEnd w:id="13"/>
    </w:p>
    <w:p>
      <w:pPr/>
      <w:r>
        <w:t>The Old Valley teaches the player how SUBSTELLAR connects survival, construction, community, and exploration. It is an inviting beginning with signs of wear and unfinished work. Paths suggest a place that once functioned better. Smoke, lamplight, stored materials, and a handful of recognizable people create the feeling that life is already here. The player contributes to it rather than arriving as an administrator of an empty menu.</w:t>
      </w:r>
    </w:p>
    <w:p>
      <w:pPr/>
      <w:r>
        <w:t>Its five chapters are a stable spine, not a requirement to follow an arrow every minute. The player can wander, mine, build a personal shelter, and return. Early exploration can reveal later landmarks without letting one premature interaction corrupt chapter order. Each chapter has a modest essential outcome and optional opportunities to make that outcome more personal. The settlement should remember contributions through visible results and occasional contextual dialogue, avoiding a constant barrage of congratulatory notifications.</w:t>
      </w:r>
    </w:p>
    <w:p>
      <w:pPr>
        <w:pStyle w:val="Heading3"/>
      </w:pPr>
      <w:r>
        <w:t>Chapter 1 A place to stay</w:t>
      </w:r>
    </w:p>
    <w:p>
      <w:pPr/>
      <w:r>
        <w:t>The first need is understandable before anyone explains it: the player needs somewhere safe to spend a night and somewhere to put their belongings. The guesthouse offers that first anchor. Its innkeeper has a practical problem that the player can solve with materials available close by. A traveler provides the sense that roads continue beyond this valley and that the building once served more people than it does now.</w:t>
      </w:r>
    </w:p>
    <w:p>
      <w:pPr/>
      <w:r>
        <w:t>The first project restores a small, useful portion of the guesthouse. The player inspects its controller, sees the exact footprint and finished purpose, and contributes a manageable set of ordinary materials. The earliest stage should finish quickly enough to teach the relationship between delivery and construction. A visible repair sequence brings back an entrance, room, or essential sheltered space; the player does not need to wait through an ornamental timer to use their first bed.</w:t>
      </w:r>
    </w:p>
    <w:p>
      <w:pPr/>
      <w:r>
        <w:t>The experience introduces local gathering, material delivery, interaction with a named role, a project preview, a safe return point, and the choice to explore independently. The innkeeper can direct attention to timber, exposed stone, or a nearby resource patch without turning every gathering step into a separate quest. The traveler can mention the old crossing while the player is still deciding what to do next.</w:t>
      </w:r>
    </w:p>
    <w:p>
      <w:pPr/>
      <w:r>
        <w:t>The persistent change is a working guesthouse with a reliable personal sleeping place, understandable storage arrangements, and a modest public place where people can later arrive. Additional rooms and comforts can remain optional. Staying at the guesthouse must remain useful even if the player builds a home immediately; it becomes the place of arrivals, news, and early coordination.</w:t>
      </w:r>
    </w:p>
    <w:p>
      <w:pPr/>
      <w:r>
        <w:t>Failure is recoverable. Lost materials can be regathered locally, and deposited materials remain in project custody. If construction is blocked by the player's chest, the project explains the obstruction and waits. Death or a long absence does not cause the guesthouse to deteriorate. The first lesson is that taking on a project creates a dependable opportunity, not a deadline.</w:t>
      </w:r>
    </w:p>
    <w:p>
      <w:pPr>
        <w:pStyle w:val="Heading3"/>
      </w:pPr>
      <w:r>
        <w:t>Chapter 2 The old crossing</w:t>
      </w:r>
    </w:p>
    <w:p>
      <w:pPr/>
      <w:r>
        <w:t>The repaired guesthouse introduces a journey whose difficulty can be seen in the landscape. A damaged crossing interrupts a useful route. The player can reach the far side awkwardly or inspect it from the near bank, but moving goods and ordinary visitors through it is impractical. The crossing makes infrastructure meaningful before the player has access to elaborate transport.</w:t>
      </w:r>
    </w:p>
    <w:p>
      <w:pPr/>
      <w:r>
        <w:t>A mason helps explain what the bridge needs and why the existing remains matter. Surveying the supported site reveals the piers or anchor points, the intended deck, and a safe work area. Material requirements use resources the player has begun to understand. A short inspection or retrieval at the far end adds adventure to the job without demanding a completely different progression tier.</w:t>
      </w:r>
    </w:p>
    <w:p>
      <w:pPr/>
      <w:r>
        <w:t>The bridge is assembled in readable stages. Stabilized supports appear first, then a partial span, then a walkable crossing, and finally the completion details required for its full transport role. Temporary access and blocked edges must communicate their actual safety. A player should never mistake a decorative ghost preview for a surface that can hold them.</w:t>
      </w:r>
    </w:p>
    <w:p>
      <w:pPr/>
      <w:r>
        <w:t>The persistent change is a shorter, safer route and the opening of authored visitor or freight activity. A traveler can arrive from a direction that previously felt disconnected. A route board or local conversation points toward the quarry. The player sees why restoring the crossing mattered even if they personally could have jumped, swum, or built a dirt path around the obstacle.</w:t>
      </w:r>
    </w:p>
    <w:p>
      <w:pPr/>
      <w:r>
        <w:t>Player ingenuity remains legitimate. A homemade bridge can make travel easier and stay in the world, but it does not automatically count as the authored crossing merely because certain blocks exist nearby. The chapter describes the specific supported project it is restoring. If a player construction intersects its reserved span, the preview shows the conflict before materials are committed. After construction begins, any newly introduced obstruction stops that stage safely until the conflict is resolved.</w:t>
      </w:r>
    </w:p>
    <w:p>
      <w:pPr>
        <w:pStyle w:val="Heading3"/>
      </w:pPr>
      <w:r>
        <w:t>Chapter 3 The quarry</w:t>
      </w:r>
    </w:p>
    <w:p>
      <w:pPr/>
      <w:r>
        <w:t>Beyond the old crossing, the quarry gives the settlement a material identity and provides the first strong invitation downward. Cut rock faces, abandoned work surfaces, an incomplete hauling route, and a dark opening imply a history of use. This is a working landscape with a reachable practical goal, alongside hints of much larger geology below.</w:t>
      </w:r>
    </w:p>
    <w:p>
      <w:pPr/>
      <w:r>
        <w:t>The mason needs a dependable place to obtain and prepare building stone. The player clears access, assesses a defined work area, and restores the quarry's essential handling equipment. A bounded exploration beat can locate missing tools, inspect an unstable-looking passage, or open a safer route to the active face. These tasks introduce reading the environment and returning with a finding, rather than asking only for another larger material stack.</w:t>
      </w:r>
    </w:p>
    <w:p>
      <w:pPr/>
      <w:r>
        <w:t>The core chapter must be completable with early equipment. It should not force an expedition deep into SUBSTELLAR before the Old Valley can function. The quarry can reveal the first Shallows entrance, distinctive deeper material, or a route whose hazards clearly belong to a later trip. This is the moment the player understands that familiar stone is the beginning of a layered world.</w:t>
      </w:r>
    </w:p>
    <w:p>
      <w:pPr/>
      <w:r>
        <w:t>The persistent change is a usable quarry project, a modest stone-processing service, and a practical source or exchange for common construction inputs. Managed quarry production follows explicit inputs and bounded output; it does not dig uncontrolled holes through the world while the player is absent. Player mining outside the managed footprint remains normal exploration and gathering.</w:t>
      </w:r>
    </w:p>
    <w:p>
      <w:pPr/>
      <w:r>
        <w:t>The recovery path teaches preparation. If the player dies in the exploratory portion, the route back should be comprehensible and the deepest optional branch should not hold the sole irreplaceable chapter item. Critical findings can be recorded as knowledge or recovered through an authored replacement path. A collapsed-looking decorative area cannot become a soft lock because the player mined an unrelated block elsewhere.</w:t>
      </w:r>
    </w:p>
    <w:p>
      <w:pPr>
        <w:pStyle w:val="Heading3"/>
      </w:pPr>
      <w:r>
        <w:t>Chapter 4 A working settlement</w:t>
      </w:r>
    </w:p>
    <w:p>
      <w:pPr/>
      <w:r>
        <w:t>With shelter, a crossing, and a quarry restored, the valley can support a connected group of useful services. This chapter includes the mill, workshop, and market preparations. Its purpose is to let the player experience a settlement functioning as a whole. It should also teach prioritization: several reasonable next actions are visible, and the player can choose which supported work package to advance first.</w:t>
      </w:r>
    </w:p>
    <w:p>
      <w:pPr/>
      <w:r>
        <w:t>The proposed mill is a grain mill. It turns locally grown grain into meal used for staple food and expedition provisions. Stored grain, the milling mechanism, sacks of meal, and prepared supplies make that process visible. The workshop handles structural components, giving the two opening services different roles. The workshop converts prepared resources into project components and opens repair or fabrication services. Market preparations create a public place with stalls, access, storage, and the practical facilities needed for visitors.</w:t>
      </w:r>
    </w:p>
    <w:p>
      <w:pPr/>
      <w:r>
        <w:t>Dependencies are shallow and legible. A mill upgrade might help supply the workshop, while the workshop prepares fittings for stalls. The player sees the chain before committing. There must be a modest manual or trade route around an incidental missing input so a single optional automation choice cannot strand the whole chapter. More efficient production is a reward, not permission to continue playing.</w:t>
      </w:r>
    </w:p>
    <w:p>
      <w:pPr/>
      <w:r>
        <w:t>This is where authored routines begin to reinforce one another. A worker moves between the designated work area and storage during active hours. The mason responds to a finished workshop. A traveler notices that the market square is becoming usable. The innkeeper anticipates additional guests. These are bounded responses to actual milestones, not claims that every character is independently planning a life.</w:t>
      </w:r>
    </w:p>
    <w:p>
      <w:pPr/>
      <w:r>
        <w:t>The persistent change is a working service network that supports the player's next stage of exploration. Common preparations become easier, local character positions become familiar, and the market has a visible sense of anticipation. Production queues show their inputs, capacity, and current reason for waiting. Output storage has a limit, preventing an unattended active region from becoming an infinite warehouse.</w:t>
      </w:r>
    </w:p>
    <w:p>
      <w:pPr/>
      <w:r>
        <w:t>Recovery remains calm and local. An empty input store produces an idle workshop with a clear request. A blocked route causes a service to wait or use a supported alternative. No essential resident starves or abandons the valley because the player spent the evening building a tower. The player can enjoy the settlement between milestones instead of continuously servicing it.</w:t>
      </w:r>
    </w:p>
    <w:p>
      <w:pPr>
        <w:pStyle w:val="Heading3"/>
      </w:pPr>
      <w:r>
        <w:t>Chapter 5 The first market</w:t>
      </w:r>
    </w:p>
    <w:p>
      <w:pPr/>
      <w:r>
        <w:t>The first market is the emotional payoff for the opening arc. People arrive along the restored route, occupy the prepared public space, and use the guesthouse. Goods associated with the player's work appear in stalls or displays. Familiar residents have a reason to stand somewhere new and speak about something that happened. The event turns several small projects into a place with a shared occasion.</w:t>
      </w:r>
    </w:p>
    <w:p>
      <w:pPr/>
      <w:r>
        <w:t>The player chooses when to declare the preparations ready. The event board gives a concise statement of what will happen, which participants can start it, and what persists if everyone leaves. Its essential requirements concern the established chapter outcomes, while optional preparations add variety or comfort. A player who completed only the main path receives a complete first market; optional decoration should enhance it rather than rescue an intentionally disappointing version.</w:t>
      </w:r>
    </w:p>
    <w:p>
      <w:pPr/>
      <w:r>
        <w:t>During the event, the player can trade, listen, inspect displays, meet a specialist, and discover a lead toward the next adventure. The event does not demand attendance at every conversation in a narrow timed window. A short authored arrival sequence can open into a stable activity phase, with the closing moment triggered through an understandable interaction. Departing the region pauses its managed progression under the regional rules.</w:t>
      </w:r>
    </w:p>
    <w:p>
      <w:pPr/>
      <w:r>
        <w:t>The proposed exchange model uses simple barter and familiar currency with visible bounded stock. Restocking occurs during active regional activity and requires the stall's stated supply or visit condition. Player contributions can open specific additional offerings. Prices are readable and stable enough to plan around; speculative pricing, debt, and an unattended financial simulation are outside this direction. Exact prices remain a balancing task.</w:t>
      </w:r>
    </w:p>
    <w:p>
      <w:pPr/>
      <w:r>
        <w:t>The persistent change is a proven gathering place, a useful recurring market framework, broader visitor possibilities, and a clear transition from settling in to deeper discovery. One visitor may recognize a find from the quarry; another may describe an inaccessible route. The valley's next opportunities grow from what the player has built and found. It does not empty out immediately after the celebration or become irrelevant as soon as better equipment appears.</w:t>
      </w:r>
    </w:p>
    <w:p>
      <w:pPr/>
      <w:r>
        <w:t>Failure should primarily mean incomplete optional preparations or an interrupted trip, not the destruction of the celebration. A player who loses a trade item can return with another. Event-specific essentials cannot be sold accidentally without recovery. Repeated markets may vary within an authored selection, but the first market's main story completion is recorded once. Restarting or repeatedly leaving the region must not duplicate milestone rewards.</w:t>
      </w:r>
    </w:p>
    <w:p>
      <w:bookmarkStart w:id="14" w:name="chapter_14"/>
      <w:pPr>
        <w:pStyle w:val="Heading1"/>
      </w:pPr>
      <w:r>
        <w:t>Residents and settlement systems</w:t>
      </w:r>
      <w:bookmarkEnd w:id="14"/>
    </w:p>
    <w:p>
      <w:pPr/>
      <w:r>
        <w:t>The initial cast should be small enough for the player to recognize each person's role and normal locations. The innkeeper, traveler, mason, mill worker, workshop specialist, and market organizer are useful role references for planning, subject to the established cast. One character can serve compatible roles where that creates a stronger personality and reduces clutter. A new building does not automatically need a new resident if an existing character can make it feel connected.</w:t>
      </w:r>
    </w:p>
    <w:p>
      <w:pPr/>
      <w:r>
        <w:t>A resident's routine is authored around a few meaningful states: working, available for conversation, resting, attending an occasion, responding to a milestone, and waiting when a service is blocked. A routine gives the settlement texture without hiding essential functions behind a strict appointment simulator. If a workshop specialist is resting, the project board can still accept materials and explain the next step. Important quest interactions have forgiving availability.</w:t>
      </w:r>
    </w:p>
    <w:p>
      <w:pPr/>
      <w:r>
        <w:t>Personality comes from interests, priorities, familiar details, and reactions to the player's choices. A mason might appreciate a particularly difficult repaired passage. The innkeeper notices new travelers. A deep-field specialist discusses how the place below differs from the surface. These responses should be selective and grounded in actual events. Unrestricted generated dialogue is not needed to make them memorable.</w:t>
      </w:r>
    </w:p>
    <w:p>
      <w:pPr/>
      <w:r>
        <w:t>Visitors are bounded arrivals associated with conditions the player can understand: a usable route, spare lodging, a market being ready, a discovered location, or an invited specialist. Their progress pauses with the region. Long journeys outside the player's active surroundings can be represented through a departure, a visible status, and an arrival condition instead of simulating a vulnerable traveler across the entire world. A route matters because its condition changes the service it provides.</w:t>
      </w:r>
    </w:p>
    <w:p>
      <w:pPr/>
      <w:r>
        <w:t>Consequence should create new possibilities more often than maintenance pressure. A supplied workshop can support a useful expedition preparation. A restored refuge attracts a surveyor with knowledge of a route. A market with an additional supported stall can offer another category of exchange. Where a shortage matters, it changes an output or invitation clearly and reversibly. The settlement must not become a machine that punishes the player for pursuing the exploration it was built to support.</w:t>
      </w:r>
    </w:p>
    <w:p>
      <w:pPr>
        <w:pStyle w:val="Heading2"/>
      </w:pPr>
      <w:r>
        <w:t>Settlement and structure catalog</w:t>
      </w:r>
    </w:p>
    <w:p>
      <w:pPr/>
      <w:r>
        <w:t>The following catalog establishes functional families. Individual sites require their own placement, visual, narrative, and dependency sheets before they become roadmap items.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44"/>
        <w:gridCol w:w="2794"/>
        <w:gridCol w:w="2707"/>
        <w:gridCol w:w="2549"/>
      </w:tblGrid>
      <w:tr>
        <w:trPr>
          <w:cantSplit/>
          <w:tblHeader w:val="true"/>
        </w:trPr>
        <w:tc>
          <w:tcPr>
            <w:tcW w:type="dxa" w:w="1944"/>
            <w:vAlign w:val="center"/>
            <w:tcMar>
              <w:top w:w="85" w:type="dxa"/>
              <w:bottom w:w="85" w:type="dxa"/>
              <w:left w:w="95" w:type="dxa"/>
              <w:right w:w="95" w:type="dxa"/>
            </w:tcMar>
            <w:shd w:fill="233544"/>
          </w:tcPr>
          <w:p>
            <w:pPr>
              <w:pStyle w:val="TableText"/>
              <w:keepNext w:val="0"/>
              <w:keepLines/>
              <w:jc w:val="center"/>
            </w:pPr>
            <w:r>
              <w:rPr>
                <w:b/>
                <w:color w:val="FFFFFF"/>
                <w:sz w:val="20"/>
              </w:rPr>
              <w:t>Region or stage</w:t>
            </w:r>
          </w:p>
        </w:tc>
        <w:tc>
          <w:tcPr>
            <w:tcW w:type="dxa" w:w="2794"/>
            <w:vAlign w:val="center"/>
            <w:tcMar>
              <w:top w:w="85" w:type="dxa"/>
              <w:bottom w:w="85" w:type="dxa"/>
              <w:left w:w="95" w:type="dxa"/>
              <w:right w:w="95" w:type="dxa"/>
            </w:tcMar>
            <w:shd w:fill="233544"/>
          </w:tcPr>
          <w:p>
            <w:pPr>
              <w:pStyle w:val="TableText"/>
              <w:keepNext w:val="0"/>
              <w:keepLines/>
            </w:pPr>
            <w:r>
              <w:rPr>
                <w:b/>
                <w:color w:val="FFFFFF"/>
                <w:sz w:val="20"/>
              </w:rPr>
              <w:t>Managed structures</w:t>
            </w:r>
          </w:p>
        </w:tc>
        <w:tc>
          <w:tcPr>
            <w:tcW w:type="dxa" w:w="2707"/>
            <w:vAlign w:val="center"/>
            <w:tcMar>
              <w:top w:w="85" w:type="dxa"/>
              <w:bottom w:w="85" w:type="dxa"/>
              <w:left w:w="95" w:type="dxa"/>
              <w:right w:w="95" w:type="dxa"/>
            </w:tcMar>
            <w:shd w:fill="233544"/>
          </w:tcPr>
          <w:p>
            <w:pPr>
              <w:pStyle w:val="TableText"/>
              <w:keepNext w:val="0"/>
              <w:keepLines/>
            </w:pPr>
            <w:r>
              <w:rPr>
                <w:b/>
                <w:color w:val="FFFFFF"/>
                <w:sz w:val="20"/>
              </w:rPr>
              <w:t>What the player gains</w:t>
            </w:r>
          </w:p>
        </w:tc>
        <w:tc>
          <w:tcPr>
            <w:tcW w:type="dxa" w:w="2549"/>
            <w:vAlign w:val="center"/>
            <w:tcMar>
              <w:top w:w="85" w:type="dxa"/>
              <w:bottom w:w="85" w:type="dxa"/>
              <w:left w:w="95" w:type="dxa"/>
              <w:right w:w="95" w:type="dxa"/>
            </w:tcMar>
            <w:shd w:fill="233544"/>
          </w:tcPr>
          <w:p>
            <w:pPr>
              <w:pStyle w:val="TableText"/>
              <w:keepNext w:val="0"/>
              <w:keepLines/>
            </w:pPr>
            <w:r>
              <w:rPr>
                <w:b/>
                <w:color w:val="FFFFFF"/>
                <w:sz w:val="20"/>
              </w:rPr>
              <w:t>Principal dependencies</w:t>
            </w:r>
          </w:p>
        </w:tc>
      </w:tr>
      <w:tr>
        <w:trPr>
          <w:cantSplit/>
        </w:trPr>
        <w:tc>
          <w:tcPr>
            <w:tcW w:type="dxa" w:w="1944"/>
            <w:vAlign w:val="center"/>
            <w:tcMar>
              <w:top w:w="85" w:type="dxa"/>
              <w:bottom w:w="85" w:type="dxa"/>
              <w:left w:w="95" w:type="dxa"/>
              <w:right w:w="95" w:type="dxa"/>
            </w:tcMar>
            <w:shd w:fill="FFFFFF"/>
          </w:tcPr>
          <w:p>
            <w:pPr>
              <w:pStyle w:val="TableText"/>
              <w:keepNext w:val="0"/>
              <w:keepLines/>
              <w:jc w:val="center"/>
            </w:pPr>
            <w:r>
              <w:rPr>
                <w:sz w:val="20"/>
              </w:rPr>
              <w:t>Old Valley</w:t>
            </w:r>
          </w:p>
        </w:tc>
        <w:tc>
          <w:tcPr>
            <w:tcW w:type="dxa" w:w="2794"/>
            <w:vAlign w:val="center"/>
            <w:tcMar>
              <w:top w:w="85" w:type="dxa"/>
              <w:bottom w:w="85" w:type="dxa"/>
              <w:left w:w="95" w:type="dxa"/>
              <w:right w:w="95" w:type="dxa"/>
            </w:tcMar>
            <w:shd w:fill="FFFFFF"/>
          </w:tcPr>
          <w:p>
            <w:pPr>
              <w:pStyle w:val="TableText"/>
              <w:keepNext w:val="0"/>
              <w:keepLines/>
            </w:pPr>
            <w:r>
              <w:rPr>
                <w:sz w:val="20"/>
              </w:rPr>
              <w:t>Guesthouse, crossing, quarry works, mill, workshop, market square</w:t>
            </w:r>
          </w:p>
        </w:tc>
        <w:tc>
          <w:tcPr>
            <w:tcW w:type="dxa" w:w="2707"/>
            <w:vAlign w:val="center"/>
            <w:tcMar>
              <w:top w:w="85" w:type="dxa"/>
              <w:bottom w:w="85" w:type="dxa"/>
              <w:left w:w="95" w:type="dxa"/>
              <w:right w:w="95" w:type="dxa"/>
            </w:tcMar>
            <w:shd w:fill="FFFFFF"/>
          </w:tcPr>
          <w:p>
            <w:pPr>
              <w:pStyle w:val="TableText"/>
              <w:keepNext w:val="0"/>
              <w:keepLines/>
            </w:pPr>
            <w:r>
              <w:rPr>
                <w:sz w:val="20"/>
              </w:rPr>
              <w:t>A recognizable home region, early services, travelers, and an introduction to project construction</w:t>
            </w:r>
          </w:p>
        </w:tc>
        <w:tc>
          <w:tcPr>
            <w:tcW w:type="dxa" w:w="2549"/>
            <w:vAlign w:val="center"/>
            <w:tcMar>
              <w:top w:w="85" w:type="dxa"/>
              <w:bottom w:w="85" w:type="dxa"/>
              <w:left w:w="95" w:type="dxa"/>
              <w:right w:w="95" w:type="dxa"/>
            </w:tcMar>
            <w:shd w:fill="FFFFFF"/>
          </w:tcPr>
          <w:p>
            <w:pPr>
              <w:pStyle w:val="TableText"/>
              <w:keepNext w:val="0"/>
              <w:keepLines/>
            </w:pPr>
            <w:r>
              <w:rPr>
                <w:sz w:val="20"/>
              </w:rPr>
              <w:t>Local common materials and the five opening chapter outcomes</w:t>
            </w:r>
          </w:p>
        </w:tc>
      </w:tr>
      <w:tr>
        <w:trPr>
          <w:cantSplit/>
        </w:trPr>
        <w:tc>
          <w:tcPr>
            <w:tcW w:type="dxa" w:w="1944"/>
            <w:vAlign w:val="center"/>
            <w:tcMar>
              <w:top w:w="85" w:type="dxa"/>
              <w:bottom w:w="85" w:type="dxa"/>
              <w:left w:w="95" w:type="dxa"/>
              <w:right w:w="95" w:type="dxa"/>
            </w:tcMar>
            <w:shd w:fill="F3F5F6"/>
          </w:tcPr>
          <w:p>
            <w:pPr>
              <w:pStyle w:val="TableText"/>
              <w:keepNext w:val="0"/>
              <w:keepLines/>
              <w:jc w:val="center"/>
            </w:pPr>
            <w:r>
              <w:rPr>
                <w:sz w:val="20"/>
              </w:rPr>
              <w:t>Surface routes</w:t>
            </w:r>
          </w:p>
        </w:tc>
        <w:tc>
          <w:tcPr>
            <w:tcW w:type="dxa" w:w="2794"/>
            <w:vAlign w:val="center"/>
            <w:tcMar>
              <w:top w:w="85" w:type="dxa"/>
              <w:bottom w:w="85" w:type="dxa"/>
              <w:left w:w="95" w:type="dxa"/>
              <w:right w:w="95" w:type="dxa"/>
            </w:tcMar>
            <w:shd w:fill="F3F5F6"/>
          </w:tcPr>
          <w:p>
            <w:pPr>
              <w:pStyle w:val="TableText"/>
              <w:keepNext w:val="0"/>
              <w:keepLines/>
            </w:pPr>
            <w:r>
              <w:rPr>
                <w:sz w:val="20"/>
              </w:rPr>
              <w:t>Wayside shelter, trail crossing, lookout, small landing or freight area where appropriate</w:t>
            </w:r>
          </w:p>
        </w:tc>
        <w:tc>
          <w:tcPr>
            <w:tcW w:type="dxa" w:w="2707"/>
            <w:vAlign w:val="center"/>
            <w:tcMar>
              <w:top w:w="85" w:type="dxa"/>
              <w:bottom w:w="85" w:type="dxa"/>
              <w:left w:w="95" w:type="dxa"/>
              <w:right w:w="95" w:type="dxa"/>
            </w:tcMar>
            <w:shd w:fill="F3F5F6"/>
          </w:tcPr>
          <w:p>
            <w:pPr>
              <w:pStyle w:val="TableText"/>
              <w:keepNext w:val="0"/>
              <w:keepLines/>
            </w:pPr>
            <w:r>
              <w:rPr>
                <w:sz w:val="20"/>
              </w:rPr>
              <w:t>Safer journeys, navigation, supplies, and meaningful links between communities</w:t>
            </w:r>
          </w:p>
        </w:tc>
        <w:tc>
          <w:tcPr>
            <w:tcW w:type="dxa" w:w="2549"/>
            <w:vAlign w:val="center"/>
            <w:tcMar>
              <w:top w:w="85" w:type="dxa"/>
              <w:bottom w:w="85" w:type="dxa"/>
              <w:left w:w="95" w:type="dxa"/>
              <w:right w:w="95" w:type="dxa"/>
            </w:tcMar>
            <w:shd w:fill="F3F5F6"/>
          </w:tcPr>
          <w:p>
            <w:pPr>
              <w:pStyle w:val="TableText"/>
              <w:keepNext w:val="0"/>
              <w:keepLines/>
            </w:pPr>
            <w:r>
              <w:rPr>
                <w:sz w:val="20"/>
              </w:rPr>
              <w:t>A surveyed supported site and an established route</w:t>
            </w:r>
          </w:p>
        </w:tc>
      </w:tr>
      <w:tr>
        <w:trPr>
          <w:cantSplit/>
        </w:trPr>
        <w:tc>
          <w:tcPr>
            <w:tcW w:type="dxa" w:w="1944"/>
            <w:vAlign w:val="center"/>
            <w:tcMar>
              <w:top w:w="85" w:type="dxa"/>
              <w:bottom w:w="85" w:type="dxa"/>
              <w:left w:w="95" w:type="dxa"/>
              <w:right w:w="95" w:type="dxa"/>
            </w:tcMar>
            <w:shd w:fill="FFFFFF"/>
          </w:tcPr>
          <w:p>
            <w:pPr>
              <w:pStyle w:val="TableText"/>
              <w:keepNext w:val="0"/>
              <w:keepLines/>
              <w:jc w:val="center"/>
            </w:pPr>
            <w:r>
              <w:rPr>
                <w:sz w:val="20"/>
              </w:rPr>
              <w:t>Shallows</w:t>
            </w:r>
          </w:p>
        </w:tc>
        <w:tc>
          <w:tcPr>
            <w:tcW w:type="dxa" w:w="2794"/>
            <w:vAlign w:val="center"/>
            <w:tcMar>
              <w:top w:w="85" w:type="dxa"/>
              <w:bottom w:w="85" w:type="dxa"/>
              <w:left w:w="95" w:type="dxa"/>
              <w:right w:w="95" w:type="dxa"/>
            </w:tcMar>
            <w:shd w:fill="FFFFFF"/>
          </w:tcPr>
          <w:p>
            <w:pPr>
              <w:pStyle w:val="TableText"/>
              <w:keepNext w:val="0"/>
              <w:keepLines/>
            </w:pPr>
            <w:r>
              <w:rPr>
                <w:sz w:val="20"/>
              </w:rPr>
              <w:t>Mine entrance station, lift landing, equipment store, first survey post</w:t>
            </w:r>
          </w:p>
        </w:tc>
        <w:tc>
          <w:tcPr>
            <w:tcW w:type="dxa" w:w="2707"/>
            <w:vAlign w:val="center"/>
            <w:tcMar>
              <w:top w:w="85" w:type="dxa"/>
              <w:bottom w:w="85" w:type="dxa"/>
              <w:left w:w="95" w:type="dxa"/>
              <w:right w:w="95" w:type="dxa"/>
            </w:tcMar>
            <w:shd w:fill="FFFFFF"/>
          </w:tcPr>
          <w:p>
            <w:pPr>
              <w:pStyle w:val="TableText"/>
              <w:keepNext w:val="0"/>
              <w:keepLines/>
            </w:pPr>
            <w:r>
              <w:rPr>
                <w:sz w:val="20"/>
              </w:rPr>
              <w:t>A clear transition underground and a place to prepare or recover</w:t>
            </w:r>
          </w:p>
        </w:tc>
        <w:tc>
          <w:tcPr>
            <w:tcW w:type="dxa" w:w="2549"/>
            <w:vAlign w:val="center"/>
            <w:tcMar>
              <w:top w:w="85" w:type="dxa"/>
              <w:bottom w:w="85" w:type="dxa"/>
              <w:left w:w="95" w:type="dxa"/>
              <w:right w:w="95" w:type="dxa"/>
            </w:tcMar>
            <w:shd w:fill="FFFFFF"/>
          </w:tcPr>
          <w:p>
            <w:pPr>
              <w:pStyle w:val="TableText"/>
              <w:keepNext w:val="0"/>
              <w:keepLines/>
            </w:pPr>
            <w:r>
              <w:rPr>
                <w:sz w:val="20"/>
              </w:rPr>
              <w:t>Surface support and a safely accessible entrance</w:t>
            </w:r>
          </w:p>
        </w:tc>
      </w:tr>
      <w:tr>
        <w:trPr>
          <w:cantSplit/>
        </w:trPr>
        <w:tc>
          <w:tcPr>
            <w:tcW w:type="dxa" w:w="1944"/>
            <w:vAlign w:val="center"/>
            <w:tcMar>
              <w:top w:w="85" w:type="dxa"/>
              <w:bottom w:w="85" w:type="dxa"/>
              <w:left w:w="95" w:type="dxa"/>
              <w:right w:w="95" w:type="dxa"/>
            </w:tcMar>
            <w:shd w:fill="F3F5F6"/>
          </w:tcPr>
          <w:p>
            <w:pPr>
              <w:pStyle w:val="TableText"/>
              <w:keepNext w:val="0"/>
              <w:keepLines/>
              <w:jc w:val="center"/>
            </w:pPr>
            <w:r>
              <w:rPr>
                <w:sz w:val="20"/>
              </w:rPr>
              <w:t>Deepwilds</w:t>
            </w:r>
          </w:p>
        </w:tc>
        <w:tc>
          <w:tcPr>
            <w:tcW w:type="dxa" w:w="2794"/>
            <w:vAlign w:val="center"/>
            <w:tcMar>
              <w:top w:w="85" w:type="dxa"/>
              <w:bottom w:w="85" w:type="dxa"/>
              <w:left w:w="95" w:type="dxa"/>
              <w:right w:w="95" w:type="dxa"/>
            </w:tcMar>
            <w:shd w:fill="F3F5F6"/>
          </w:tcPr>
          <w:p>
            <w:pPr>
              <w:pStyle w:val="TableText"/>
              <w:keepNext w:val="0"/>
              <w:keepLines/>
            </w:pPr>
            <w:r>
              <w:rPr>
                <w:sz w:val="20"/>
              </w:rPr>
              <w:t>Ecological field station, protected growing area, water-service shelter, observation walkway</w:t>
            </w:r>
          </w:p>
        </w:tc>
        <w:tc>
          <w:tcPr>
            <w:tcW w:type="dxa" w:w="2707"/>
            <w:vAlign w:val="center"/>
            <w:tcMar>
              <w:top w:w="85" w:type="dxa"/>
              <w:bottom w:w="85" w:type="dxa"/>
              <w:left w:w="95" w:type="dxa"/>
              <w:right w:w="95" w:type="dxa"/>
            </w:tcMar>
            <w:shd w:fill="F3F5F6"/>
          </w:tcPr>
          <w:p>
            <w:pPr>
              <w:pStyle w:val="TableText"/>
              <w:keepNext w:val="0"/>
              <w:keepLines/>
            </w:pPr>
            <w:r>
              <w:rPr>
                <w:sz w:val="20"/>
              </w:rPr>
              <w:t>A community that learns from the living underground and makes sustained visits practical</w:t>
            </w:r>
          </w:p>
        </w:tc>
        <w:tc>
          <w:tcPr>
            <w:tcW w:type="dxa" w:w="2549"/>
            <w:vAlign w:val="center"/>
            <w:tcMar>
              <w:top w:w="85" w:type="dxa"/>
              <w:bottom w:w="85" w:type="dxa"/>
              <w:left w:w="95" w:type="dxa"/>
              <w:right w:w="95" w:type="dxa"/>
            </w:tcMar>
            <w:shd w:fill="F3F5F6"/>
          </w:tcPr>
          <w:p>
            <w:pPr>
              <w:pStyle w:val="TableText"/>
              <w:keepNext w:val="0"/>
              <w:keepLines/>
            </w:pPr>
            <w:r>
              <w:rPr>
                <w:sz w:val="20"/>
              </w:rPr>
              <w:t>Careful site boundaries, suitable environmental conditions, and a return route</w:t>
            </w:r>
          </w:p>
        </w:tc>
      </w:tr>
      <w:tr>
        <w:trPr>
          <w:cantSplit/>
        </w:trPr>
        <w:tc>
          <w:tcPr>
            <w:tcW w:type="dxa" w:w="1944"/>
            <w:vAlign w:val="center"/>
            <w:tcMar>
              <w:top w:w="85" w:type="dxa"/>
              <w:bottom w:w="85" w:type="dxa"/>
              <w:left w:w="95" w:type="dxa"/>
              <w:right w:w="95" w:type="dxa"/>
            </w:tcMar>
            <w:shd w:fill="FFFFFF"/>
          </w:tcPr>
          <w:p>
            <w:pPr>
              <w:pStyle w:val="TableText"/>
              <w:keepNext w:val="0"/>
              <w:keepLines/>
              <w:jc w:val="center"/>
            </w:pPr>
            <w:r>
              <w:rPr>
                <w:sz w:val="20"/>
              </w:rPr>
              <w:t>Underreach</w:t>
            </w:r>
          </w:p>
        </w:tc>
        <w:tc>
          <w:tcPr>
            <w:tcW w:type="dxa" w:w="2794"/>
            <w:vAlign w:val="center"/>
            <w:tcMar>
              <w:top w:w="85" w:type="dxa"/>
              <w:bottom w:w="85" w:type="dxa"/>
              <w:left w:w="95" w:type="dxa"/>
              <w:right w:w="95" w:type="dxa"/>
            </w:tcMar>
            <w:shd w:fill="FFFFFF"/>
          </w:tcPr>
          <w:p>
            <w:pPr>
              <w:pStyle w:val="TableText"/>
              <w:keepNext w:val="0"/>
              <w:keepLines/>
            </w:pPr>
            <w:r>
              <w:rPr>
                <w:sz w:val="20"/>
              </w:rPr>
              <w:t>Freight exchange, mechanical workshop, transit station, survey archive</w:t>
            </w:r>
          </w:p>
        </w:tc>
        <w:tc>
          <w:tcPr>
            <w:tcW w:type="dxa" w:w="2707"/>
            <w:vAlign w:val="center"/>
            <w:tcMar>
              <w:top w:w="85" w:type="dxa"/>
              <w:bottom w:w="85" w:type="dxa"/>
              <w:left w:w="95" w:type="dxa"/>
              <w:right w:w="95" w:type="dxa"/>
            </w:tcMar>
            <w:shd w:fill="FFFFFF"/>
          </w:tcPr>
          <w:p>
            <w:pPr>
              <w:pStyle w:val="TableText"/>
              <w:keepNext w:val="0"/>
              <w:keepLines/>
            </w:pPr>
            <w:r>
              <w:rPr>
                <w:sz w:val="20"/>
              </w:rPr>
              <w:t>A regional working hub that connects expeditions and turns specialist discoveries into services</w:t>
            </w:r>
          </w:p>
        </w:tc>
        <w:tc>
          <w:tcPr>
            <w:tcW w:type="dxa" w:w="2549"/>
            <w:vAlign w:val="center"/>
            <w:tcMar>
              <w:top w:w="85" w:type="dxa"/>
              <w:bottom w:w="85" w:type="dxa"/>
              <w:left w:w="95" w:type="dxa"/>
              <w:right w:w="95" w:type="dxa"/>
            </w:tcMar>
            <w:shd w:fill="FFFFFF"/>
          </w:tcPr>
          <w:p>
            <w:pPr>
              <w:pStyle w:val="TableText"/>
              <w:keepNext w:val="0"/>
              <w:keepLines/>
            </w:pPr>
            <w:r>
              <w:rPr>
                <w:sz w:val="20"/>
              </w:rPr>
              <w:t>Reliable access, supported transport links, and later fabrication inputs</w:t>
            </w:r>
          </w:p>
        </w:tc>
      </w:tr>
      <w:tr>
        <w:trPr>
          <w:cantSplit/>
        </w:trPr>
        <w:tc>
          <w:tcPr>
            <w:tcW w:type="dxa" w:w="1944"/>
            <w:vAlign w:val="center"/>
            <w:tcMar>
              <w:top w:w="85" w:type="dxa"/>
              <w:bottom w:w="85" w:type="dxa"/>
              <w:left w:w="95" w:type="dxa"/>
              <w:right w:w="95" w:type="dxa"/>
            </w:tcMar>
            <w:shd w:fill="F3F5F6"/>
          </w:tcPr>
          <w:p>
            <w:pPr>
              <w:pStyle w:val="TableText"/>
              <w:keepNext w:val="0"/>
              <w:keepLines/>
              <w:jc w:val="center"/>
            </w:pPr>
            <w:r>
              <w:rPr>
                <w:sz w:val="20"/>
              </w:rPr>
              <w:t>Abyss</w:t>
            </w:r>
          </w:p>
        </w:tc>
        <w:tc>
          <w:tcPr>
            <w:tcW w:type="dxa" w:w="2794"/>
            <w:vAlign w:val="center"/>
            <w:tcMar>
              <w:top w:w="85" w:type="dxa"/>
              <w:bottom w:w="85" w:type="dxa"/>
              <w:left w:w="95" w:type="dxa"/>
              <w:right w:w="95" w:type="dxa"/>
            </w:tcMar>
            <w:shd w:fill="F3F5F6"/>
          </w:tcPr>
          <w:p>
            <w:pPr>
              <w:pStyle w:val="TableText"/>
              <w:keepNext w:val="0"/>
              <w:keepLines/>
            </w:pPr>
            <w:r>
              <w:rPr>
                <w:sz w:val="20"/>
              </w:rPr>
              <w:t>Refuge, signal station, rescue cache, anchored observation platform</w:t>
            </w:r>
          </w:p>
        </w:tc>
        <w:tc>
          <w:tcPr>
            <w:tcW w:type="dxa" w:w="2707"/>
            <w:vAlign w:val="center"/>
            <w:tcMar>
              <w:top w:w="85" w:type="dxa"/>
              <w:bottom w:w="85" w:type="dxa"/>
              <w:left w:w="95" w:type="dxa"/>
              <w:right w:w="95" w:type="dxa"/>
            </w:tcMar>
            <w:shd w:fill="F3F5F6"/>
          </w:tcPr>
          <w:p>
            <w:pPr>
              <w:pStyle w:val="TableText"/>
              <w:keepNext w:val="0"/>
              <w:keepLines/>
            </w:pPr>
            <w:r>
              <w:rPr>
                <w:sz w:val="20"/>
              </w:rPr>
              <w:t>Orientation, recovery, and the confidence to travel between otherwise isolated safe points</w:t>
            </w:r>
          </w:p>
        </w:tc>
        <w:tc>
          <w:tcPr>
            <w:tcW w:type="dxa" w:w="2549"/>
            <w:vAlign w:val="center"/>
            <w:tcMar>
              <w:top w:w="85" w:type="dxa"/>
              <w:bottom w:w="85" w:type="dxa"/>
              <w:left w:w="95" w:type="dxa"/>
              <w:right w:w="95" w:type="dxa"/>
            </w:tcMar>
            <w:shd w:fill="F3F5F6"/>
          </w:tcPr>
          <w:p>
            <w:pPr>
              <w:pStyle w:val="TableText"/>
              <w:keepNext w:val="0"/>
              <w:keepLines/>
            </w:pPr>
            <w:r>
              <w:rPr>
                <w:sz w:val="20"/>
              </w:rPr>
              <w:t>A verified route, appropriate protection, and tightly bounded placement</w:t>
            </w:r>
          </w:p>
        </w:tc>
      </w:tr>
      <w:tr>
        <w:trPr>
          <w:cantSplit/>
        </w:trPr>
        <w:tc>
          <w:tcPr>
            <w:tcW w:type="dxa" w:w="1944"/>
            <w:vAlign w:val="center"/>
            <w:tcMar>
              <w:top w:w="85" w:type="dxa"/>
              <w:bottom w:w="85" w:type="dxa"/>
              <w:left w:w="95" w:type="dxa"/>
              <w:right w:w="95" w:type="dxa"/>
            </w:tcMar>
            <w:shd w:fill="FFFFFF"/>
          </w:tcPr>
          <w:p>
            <w:pPr>
              <w:pStyle w:val="TableText"/>
              <w:keepNext w:val="0"/>
              <w:keepLines/>
              <w:jc w:val="center"/>
            </w:pPr>
            <w:r>
              <w:rPr>
                <w:sz w:val="20"/>
              </w:rPr>
              <w:t>Mantle</w:t>
            </w:r>
          </w:p>
        </w:tc>
        <w:tc>
          <w:tcPr>
            <w:tcW w:type="dxa" w:w="2794"/>
            <w:vAlign w:val="center"/>
            <w:tcMar>
              <w:top w:w="85" w:type="dxa"/>
              <w:bottom w:w="85" w:type="dxa"/>
              <w:left w:w="95" w:type="dxa"/>
              <w:right w:w="95" w:type="dxa"/>
            </w:tcMar>
            <w:shd w:fill="FFFFFF"/>
          </w:tcPr>
          <w:p>
            <w:pPr>
              <w:pStyle w:val="TableText"/>
              <w:keepNext w:val="0"/>
              <w:keepLines/>
            </w:pPr>
            <w:r>
              <w:rPr>
                <w:sz w:val="20"/>
              </w:rPr>
              <w:t>Thermal research shelter, guarded transfer station, specialist materials workshop</w:t>
            </w:r>
          </w:p>
        </w:tc>
        <w:tc>
          <w:tcPr>
            <w:tcW w:type="dxa" w:w="2707"/>
            <w:vAlign w:val="center"/>
            <w:tcMar>
              <w:top w:w="85" w:type="dxa"/>
              <w:bottom w:w="85" w:type="dxa"/>
              <w:left w:w="95" w:type="dxa"/>
              <w:right w:w="95" w:type="dxa"/>
            </w:tcMar>
            <w:shd w:fill="FFFFFF"/>
          </w:tcPr>
          <w:p>
            <w:pPr>
              <w:pStyle w:val="TableText"/>
              <w:keepNext w:val="0"/>
              <w:keepLines/>
            </w:pPr>
            <w:r>
              <w:rPr>
                <w:sz w:val="20"/>
              </w:rPr>
              <w:t>A limited foothold near extreme conditions and support for focused expeditions</w:t>
            </w:r>
          </w:p>
        </w:tc>
        <w:tc>
          <w:tcPr>
            <w:tcW w:type="dxa" w:w="2549"/>
            <w:vAlign w:val="center"/>
            <w:tcMar>
              <w:top w:w="85" w:type="dxa"/>
              <w:bottom w:w="85" w:type="dxa"/>
              <w:left w:w="95" w:type="dxa"/>
              <w:right w:w="95" w:type="dxa"/>
            </w:tcMar>
            <w:shd w:fill="FFFFFF"/>
          </w:tcPr>
          <w:p>
            <w:pPr>
              <w:pStyle w:val="TableText"/>
              <w:keepNext w:val="0"/>
              <w:keepLines/>
            </w:pPr>
            <w:r>
              <w:rPr>
                <w:sz w:val="20"/>
              </w:rPr>
              <w:t>Environmental protection, compatible equipment, and explicit operating limits</w:t>
            </w:r>
          </w:p>
        </w:tc>
      </w:tr>
      <w:tr>
        <w:trPr>
          <w:cantSplit/>
        </w:trPr>
        <w:tc>
          <w:tcPr>
            <w:tcW w:type="dxa" w:w="1944"/>
            <w:vAlign w:val="center"/>
            <w:tcMar>
              <w:top w:w="85" w:type="dxa"/>
              <w:bottom w:w="85" w:type="dxa"/>
              <w:left w:w="95" w:type="dxa"/>
              <w:right w:w="95" w:type="dxa"/>
            </w:tcMar>
            <w:shd w:fill="F3F5F6"/>
          </w:tcPr>
          <w:p>
            <w:pPr>
              <w:pStyle w:val="TableText"/>
              <w:keepNext w:val="0"/>
              <w:keepLines/>
              <w:jc w:val="center"/>
            </w:pPr>
            <w:r>
              <w:rPr>
                <w:sz w:val="20"/>
              </w:rPr>
              <w:t>Core</w:t>
            </w:r>
          </w:p>
        </w:tc>
        <w:tc>
          <w:tcPr>
            <w:tcW w:type="dxa" w:w="2794"/>
            <w:vAlign w:val="center"/>
            <w:tcMar>
              <w:top w:w="85" w:type="dxa"/>
              <w:bottom w:w="85" w:type="dxa"/>
              <w:left w:w="95" w:type="dxa"/>
              <w:right w:w="95" w:type="dxa"/>
            </w:tcMar>
            <w:shd w:fill="F3F5F6"/>
          </w:tcPr>
          <w:p>
            <w:pPr>
              <w:pStyle w:val="TableText"/>
              <w:keepNext w:val="0"/>
              <w:keepLines/>
            </w:pPr>
            <w:r>
              <w:rPr>
                <w:sz w:val="20"/>
              </w:rPr>
              <w:t>Final expedition staging site, survey chamber, return-support installation</w:t>
            </w:r>
          </w:p>
        </w:tc>
        <w:tc>
          <w:tcPr>
            <w:tcW w:type="dxa" w:w="2707"/>
            <w:vAlign w:val="center"/>
            <w:tcMar>
              <w:top w:w="85" w:type="dxa"/>
              <w:bottom w:w="85" w:type="dxa"/>
              <w:left w:w="95" w:type="dxa"/>
              <w:right w:w="95" w:type="dxa"/>
            </w:tcMar>
            <w:shd w:fill="F3F5F6"/>
          </w:tcPr>
          <w:p>
            <w:pPr>
              <w:pStyle w:val="TableText"/>
              <w:keepNext w:val="0"/>
              <w:keepLines/>
            </w:pPr>
            <w:r>
              <w:rPr>
                <w:sz w:val="20"/>
              </w:rPr>
              <w:t>A deliberate place from which to attempt the deepest objectives</w:t>
            </w:r>
          </w:p>
        </w:tc>
        <w:tc>
          <w:tcPr>
            <w:tcW w:type="dxa" w:w="2549"/>
            <w:vAlign w:val="center"/>
            <w:tcMar>
              <w:top w:w="85" w:type="dxa"/>
              <w:bottom w:w="85" w:type="dxa"/>
              <w:left w:w="95" w:type="dxa"/>
              <w:right w:w="95" w:type="dxa"/>
            </w:tcMar>
            <w:shd w:fill="F3F5F6"/>
          </w:tcPr>
          <w:p>
            <w:pPr>
              <w:pStyle w:val="TableText"/>
              <w:keepNext w:val="0"/>
              <w:keepLines/>
            </w:pPr>
            <w:r>
              <w:rPr>
                <w:sz w:val="20"/>
              </w:rPr>
              <w:t>Completion of the required descent capabilities and an established recovery route</w:t>
            </w:r>
          </w:p>
        </w:tc>
      </w:tr>
      <w:tr>
        <w:trPr>
          <w:cantSplit/>
        </w:trPr>
        <w:tc>
          <w:tcPr>
            <w:tcW w:type="dxa" w:w="1944"/>
            <w:vAlign w:val="center"/>
            <w:tcMar>
              <w:top w:w="85" w:type="dxa"/>
              <w:bottom w:w="85" w:type="dxa"/>
              <w:left w:w="95" w:type="dxa"/>
              <w:right w:w="95" w:type="dxa"/>
            </w:tcMar>
            <w:shd w:fill="FFFFFF"/>
          </w:tcPr>
          <w:p>
            <w:pPr>
              <w:pStyle w:val="TableText"/>
              <w:keepNext w:val="0"/>
              <w:keepLines/>
            </w:pPr>
            <w:r>
              <w:rPr>
                <w:sz w:val="20"/>
              </w:rPr>
              <w:t>Lunar or planetary frontier</w:t>
            </w:r>
          </w:p>
        </w:tc>
        <w:tc>
          <w:tcPr>
            <w:tcW w:type="dxa" w:w="2794"/>
            <w:vAlign w:val="center"/>
            <w:tcMar>
              <w:top w:w="85" w:type="dxa"/>
              <w:bottom w:w="85" w:type="dxa"/>
              <w:left w:w="95" w:type="dxa"/>
              <w:right w:w="95" w:type="dxa"/>
            </w:tcMar>
            <w:shd w:fill="FFFFFF"/>
          </w:tcPr>
          <w:p>
            <w:pPr>
              <w:pStyle w:val="TableText"/>
              <w:keepNext w:val="0"/>
              <w:keepLines/>
            </w:pPr>
            <w:r>
              <w:rPr>
                <w:sz w:val="20"/>
              </w:rPr>
              <w:t>Landing area, habitat, utility module, field laboratory, greenhouse where suitable, communications point</w:t>
            </w:r>
          </w:p>
        </w:tc>
        <w:tc>
          <w:tcPr>
            <w:tcW w:type="dxa" w:w="2707"/>
            <w:vAlign w:val="center"/>
            <w:tcMar>
              <w:top w:w="85" w:type="dxa"/>
              <w:bottom w:w="85" w:type="dxa"/>
              <w:left w:w="95" w:type="dxa"/>
              <w:right w:w="95" w:type="dxa"/>
            </w:tcMar>
            <w:shd w:fill="FFFFFF"/>
          </w:tcPr>
          <w:p>
            <w:pPr>
              <w:pStyle w:val="TableText"/>
              <w:keepNext w:val="0"/>
              <w:keepLines/>
            </w:pPr>
            <w:r>
              <w:rPr>
                <w:sz w:val="20"/>
              </w:rPr>
              <w:t>A functioning base for understanding a new world</w:t>
            </w:r>
          </w:p>
        </w:tc>
        <w:tc>
          <w:tcPr>
            <w:tcW w:type="dxa" w:w="2549"/>
            <w:vAlign w:val="center"/>
            <w:tcMar>
              <w:top w:w="85" w:type="dxa"/>
              <w:bottom w:w="85" w:type="dxa"/>
              <w:left w:w="95" w:type="dxa"/>
              <w:right w:w="95" w:type="dxa"/>
            </w:tcMar>
            <w:shd w:fill="FFFFFF"/>
          </w:tcPr>
          <w:p>
            <w:pPr>
              <w:pStyle w:val="TableText"/>
              <w:keepNext w:val="0"/>
              <w:keepLines/>
            </w:pPr>
            <w:r>
              <w:rPr>
                <w:sz w:val="20"/>
              </w:rPr>
              <w:t>Safe arrival, appropriate habitat services, and a planned return capability</w:t>
            </w:r>
          </w:p>
        </w:tc>
      </w:tr>
      <w:tr>
        <w:trPr>
          <w:cantSplit/>
        </w:trPr>
        <w:tc>
          <w:tcPr>
            <w:tcW w:type="dxa" w:w="1944"/>
            <w:vAlign w:val="center"/>
            <w:tcMar>
              <w:top w:w="85" w:type="dxa"/>
              <w:bottom w:w="85" w:type="dxa"/>
              <w:left w:w="95" w:type="dxa"/>
              <w:right w:w="95" w:type="dxa"/>
            </w:tcMar>
            <w:shd w:fill="F3F5F6"/>
          </w:tcPr>
          <w:p>
            <w:pPr>
              <w:pStyle w:val="TableText"/>
              <w:keepNext w:val="0"/>
              <w:keepLines/>
            </w:pPr>
            <w:r>
              <w:rPr>
                <w:sz w:val="20"/>
              </w:rPr>
              <w:t>Established space network</w:t>
            </w:r>
          </w:p>
        </w:tc>
        <w:tc>
          <w:tcPr>
            <w:tcW w:type="dxa" w:w="2794"/>
            <w:vAlign w:val="center"/>
            <w:tcMar>
              <w:top w:w="85" w:type="dxa"/>
              <w:bottom w:w="85" w:type="dxa"/>
              <w:left w:w="95" w:type="dxa"/>
              <w:right w:w="95" w:type="dxa"/>
            </w:tcMar>
            <w:shd w:fill="F3F5F6"/>
          </w:tcPr>
          <w:p>
            <w:pPr>
              <w:pStyle w:val="TableText"/>
              <w:keepNext w:val="0"/>
              <w:keepLines/>
            </w:pPr>
            <w:r>
              <w:rPr>
                <w:sz w:val="20"/>
              </w:rPr>
              <w:t>Freight depot, transfer station, specialized outpost, expedition preparation area</w:t>
            </w:r>
          </w:p>
        </w:tc>
        <w:tc>
          <w:tcPr>
            <w:tcW w:type="dxa" w:w="2707"/>
            <w:vAlign w:val="center"/>
            <w:tcMar>
              <w:top w:w="85" w:type="dxa"/>
              <w:bottom w:w="85" w:type="dxa"/>
              <w:left w:w="95" w:type="dxa"/>
              <w:right w:w="95" w:type="dxa"/>
            </w:tcMar>
            <w:shd w:fill="F3F5F6"/>
          </w:tcPr>
          <w:p>
            <w:pPr>
              <w:pStyle w:val="TableText"/>
              <w:keepNext w:val="0"/>
              <w:keepLines/>
            </w:pPr>
            <w:r>
              <w:rPr>
                <w:sz w:val="20"/>
              </w:rPr>
              <w:t>Repeatable travel, useful specialization, and links between planetary communities</w:t>
            </w:r>
          </w:p>
        </w:tc>
        <w:tc>
          <w:tcPr>
            <w:tcW w:type="dxa" w:w="2549"/>
            <w:vAlign w:val="center"/>
            <w:tcMar>
              <w:top w:w="85" w:type="dxa"/>
              <w:bottom w:w="85" w:type="dxa"/>
              <w:left w:w="95" w:type="dxa"/>
              <w:right w:w="95" w:type="dxa"/>
            </w:tcMar>
            <w:shd w:fill="F3F5F6"/>
          </w:tcPr>
          <w:p>
            <w:pPr>
              <w:pStyle w:val="TableText"/>
              <w:keepNext w:val="0"/>
              <w:keepLines/>
            </w:pPr>
            <w:r>
              <w:rPr>
                <w:sz w:val="20"/>
              </w:rPr>
              <w:t>Previously established destinations and the matching transport capabilities</w:t>
            </w:r>
          </w:p>
        </w:tc>
      </w:tr>
    </w:tbl>
    <w:p>
      <w:pPr>
        <w:spacing w:after="0" w:before="0" w:line="60" w:lineRule="exact"/>
      </w:pPr>
      <w:r>
        <w:rPr>
          <w:sz w:val="6"/>
        </w:rPr>
      </w:r>
    </w:p>
    <w:p>
      <w:pPr/>
      <w:r>
        <w:t>Depth should change the meaning of a settlement. Surface communities can spread into public space. Deep communities make careful use of protected cavities and reliable routes. At extreme depths, even a small staffed shelter can feel like a major achievement. Planetary bases reveal their purpose through airlocks, utility connections, protected rooms, and the evidence of life adapting to an unfamiliar landscape. Repeating the same village under different ceilings would weaken the journey.</w:t>
      </w:r>
    </w:p>
    <w:p>
      <w:pPr>
        <w:pStyle w:val="Heading2"/>
      </w:pPr>
      <w:r>
        <w:t>The project controller as a real object</w:t>
      </w:r>
    </w:p>
    <w:p>
      <w:pPr/>
      <w:r>
        <w:t>Every managed structure has an interactable project or controller block that represents a specific authored project. Its physical design belongs to the location: a work board, survey marker, workshop control, or outpost terminal. Whatever its appearance, it has a consistent basic interaction. The player can understand the purpose, inspect the approved construction area, see requirements, contribute materials, and know why work is or is not proceeding.</w:t>
      </w:r>
    </w:p>
    <w:p>
      <w:pPr/>
      <w:r>
        <w:t>Its conceptual states should be explicit: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98"/>
        <w:gridCol w:w="7095"/>
      </w:tblGrid>
      <w:tr>
        <w:trPr>
          <w:cantSplit/>
          <w:tblHeader w:val="true"/>
        </w:trPr>
        <w:tc>
          <w:tcPr>
            <w:tcW w:type="dxa" w:w="2898"/>
            <w:vAlign w:val="center"/>
            <w:tcMar>
              <w:top w:w="85" w:type="dxa"/>
              <w:bottom w:w="85" w:type="dxa"/>
              <w:left w:w="95" w:type="dxa"/>
              <w:right w:w="95" w:type="dxa"/>
            </w:tcMar>
            <w:shd w:fill="233544"/>
          </w:tcPr>
          <w:p>
            <w:pPr>
              <w:pStyle w:val="TableText"/>
              <w:keepNext w:val="0"/>
              <w:keepLines/>
              <w:jc w:val="center"/>
            </w:pPr>
            <w:r>
              <w:rPr>
                <w:b/>
                <w:color w:val="FFFFFF"/>
                <w:sz w:val="20"/>
              </w:rPr>
              <w:t>State</w:t>
            </w:r>
          </w:p>
        </w:tc>
        <w:tc>
          <w:tcPr>
            <w:tcW w:type="dxa" w:w="7095"/>
            <w:vAlign w:val="center"/>
            <w:tcMar>
              <w:top w:w="85" w:type="dxa"/>
              <w:bottom w:w="85" w:type="dxa"/>
              <w:left w:w="95" w:type="dxa"/>
              <w:right w:w="95" w:type="dxa"/>
            </w:tcMar>
            <w:shd w:fill="233544"/>
          </w:tcPr>
          <w:p>
            <w:pPr>
              <w:pStyle w:val="TableText"/>
              <w:keepNext w:val="0"/>
              <w:keepLines/>
            </w:pPr>
            <w:r>
              <w:rPr>
                <w:b/>
                <w:color w:val="FFFFFF"/>
                <w:sz w:val="20"/>
              </w:rPr>
              <w:t>Player meaning</w:t>
            </w:r>
          </w:p>
        </w:tc>
      </w:tr>
      <w:tr>
        <w:trPr>
          <w:cantSplit/>
        </w:trPr>
        <w:tc>
          <w:tcPr>
            <w:tcW w:type="dxa" w:w="2898"/>
            <w:vAlign w:val="center"/>
            <w:tcMar>
              <w:top w:w="85" w:type="dxa"/>
              <w:bottom w:w="85" w:type="dxa"/>
              <w:left w:w="95" w:type="dxa"/>
              <w:right w:w="95" w:type="dxa"/>
            </w:tcMar>
            <w:shd w:fill="FFFFFF"/>
          </w:tcPr>
          <w:p>
            <w:pPr>
              <w:pStyle w:val="TableText"/>
              <w:keepNext w:val="0"/>
              <w:keepLines/>
              <w:jc w:val="center"/>
            </w:pPr>
            <w:r>
              <w:rPr>
                <w:sz w:val="20"/>
              </w:rPr>
              <w:t>Discovered</w:t>
            </w:r>
          </w:p>
        </w:tc>
        <w:tc>
          <w:tcPr>
            <w:tcW w:type="dxa" w:w="7095"/>
            <w:vAlign w:val="center"/>
            <w:tcMar>
              <w:top w:w="85" w:type="dxa"/>
              <w:bottom w:w="85" w:type="dxa"/>
              <w:left w:w="95" w:type="dxa"/>
              <w:right w:w="95" w:type="dxa"/>
            </w:tcMar>
            <w:shd w:fill="FFFFFF"/>
          </w:tcPr>
          <w:p>
            <w:pPr>
              <w:pStyle w:val="TableText"/>
              <w:keepNext w:val="0"/>
              <w:keepLines/>
            </w:pPr>
            <w:r>
              <w:rPr>
                <w:sz w:val="20"/>
              </w:rPr>
              <w:t>The site or opportunity is known, but the player has not committed to it.</w:t>
            </w:r>
          </w:p>
        </w:tc>
      </w:tr>
      <w:tr>
        <w:trPr>
          <w:cantSplit/>
        </w:trPr>
        <w:tc>
          <w:tcPr>
            <w:tcW w:type="dxa" w:w="2898"/>
            <w:vAlign w:val="center"/>
            <w:tcMar>
              <w:top w:w="85" w:type="dxa"/>
              <w:bottom w:w="85" w:type="dxa"/>
              <w:left w:w="95" w:type="dxa"/>
              <w:right w:w="95" w:type="dxa"/>
            </w:tcMar>
            <w:shd w:fill="F3F5F6"/>
          </w:tcPr>
          <w:p>
            <w:pPr>
              <w:pStyle w:val="TableText"/>
              <w:keepNext w:val="0"/>
              <w:keepLines/>
              <w:jc w:val="center"/>
            </w:pPr>
            <w:r>
              <w:rPr>
                <w:sz w:val="20"/>
              </w:rPr>
              <w:t>Preview</w:t>
            </w:r>
          </w:p>
        </w:tc>
        <w:tc>
          <w:tcPr>
            <w:tcW w:type="dxa" w:w="7095"/>
            <w:vAlign w:val="center"/>
            <w:tcMar>
              <w:top w:w="85" w:type="dxa"/>
              <w:bottom w:w="85" w:type="dxa"/>
              <w:left w:w="95" w:type="dxa"/>
              <w:right w:w="95" w:type="dxa"/>
            </w:tcMar>
            <w:shd w:fill="F3F5F6"/>
          </w:tcPr>
          <w:p>
            <w:pPr>
              <w:pStyle w:val="TableText"/>
              <w:keepNext w:val="0"/>
              <w:keepLines/>
            </w:pPr>
            <w:r>
              <w:rPr>
                <w:sz w:val="20"/>
              </w:rPr>
              <w:t>The supported footprint, result, stages, costs, and known conflicts can be inspected.</w:t>
            </w:r>
          </w:p>
        </w:tc>
      </w:tr>
      <w:tr>
        <w:trPr>
          <w:cantSplit/>
        </w:trPr>
        <w:tc>
          <w:tcPr>
            <w:tcW w:type="dxa" w:w="2898"/>
            <w:vAlign w:val="center"/>
            <w:tcMar>
              <w:top w:w="85" w:type="dxa"/>
              <w:bottom w:w="85" w:type="dxa"/>
              <w:left w:w="95" w:type="dxa"/>
              <w:right w:w="95" w:type="dxa"/>
            </w:tcMar>
            <w:shd w:fill="FFFFFF"/>
          </w:tcPr>
          <w:p>
            <w:pPr>
              <w:pStyle w:val="TableText"/>
              <w:keepNext w:val="0"/>
              <w:keepLines/>
            </w:pPr>
            <w:r>
              <w:rPr>
                <w:sz w:val="20"/>
              </w:rPr>
              <w:t>Claimed or assigned</w:t>
            </w:r>
          </w:p>
        </w:tc>
        <w:tc>
          <w:tcPr>
            <w:tcW w:type="dxa" w:w="7095"/>
            <w:vAlign w:val="center"/>
            <w:tcMar>
              <w:top w:w="85" w:type="dxa"/>
              <w:bottom w:w="85" w:type="dxa"/>
              <w:left w:w="95" w:type="dxa"/>
              <w:right w:w="95" w:type="dxa"/>
            </w:tcMar>
            <w:shd w:fill="FFFFFF"/>
          </w:tcPr>
          <w:p>
            <w:pPr>
              <w:pStyle w:val="TableText"/>
              <w:keepNext w:val="0"/>
              <w:keepLines/>
            </w:pPr>
            <w:r>
              <w:rPr>
                <w:sz w:val="20"/>
              </w:rPr>
              <w:t>A player or cooperative group has authority over this project under the world's ownership rules.</w:t>
            </w:r>
          </w:p>
        </w:tc>
      </w:tr>
      <w:tr>
        <w:trPr>
          <w:cantSplit/>
        </w:trPr>
        <w:tc>
          <w:tcPr>
            <w:tcW w:type="dxa" w:w="2898"/>
            <w:vAlign w:val="center"/>
            <w:tcMar>
              <w:top w:w="85" w:type="dxa"/>
              <w:bottom w:w="85" w:type="dxa"/>
              <w:left w:w="95" w:type="dxa"/>
              <w:right w:w="95" w:type="dxa"/>
            </w:tcMar>
            <w:shd w:fill="F3F5F6"/>
          </w:tcPr>
          <w:p>
            <w:pPr>
              <w:pStyle w:val="TableText"/>
              <w:keepNext w:val="0"/>
              <w:keepLines/>
            </w:pPr>
            <w:r>
              <w:rPr>
                <w:sz w:val="20"/>
              </w:rPr>
              <w:t>Awaiting requirements</w:t>
            </w:r>
          </w:p>
        </w:tc>
        <w:tc>
          <w:tcPr>
            <w:tcW w:type="dxa" w:w="7095"/>
            <w:vAlign w:val="center"/>
            <w:tcMar>
              <w:top w:w="85" w:type="dxa"/>
              <w:bottom w:w="85" w:type="dxa"/>
              <w:left w:w="95" w:type="dxa"/>
              <w:right w:w="95" w:type="dxa"/>
            </w:tcMar>
            <w:shd w:fill="F3F5F6"/>
          </w:tcPr>
          <w:p>
            <w:pPr>
              <w:pStyle w:val="TableText"/>
              <w:keepNext w:val="0"/>
              <w:keepLines/>
            </w:pPr>
            <w:r>
              <w:rPr>
                <w:sz w:val="20"/>
              </w:rPr>
              <w:t>The project clearly identifies missing materials, knowledge, earlier services, or a required local action.</w:t>
            </w:r>
          </w:p>
        </w:tc>
      </w:tr>
      <w:tr>
        <w:trPr>
          <w:cantSplit/>
        </w:trPr>
        <w:tc>
          <w:tcPr>
            <w:tcW w:type="dxa" w:w="2898"/>
            <w:vAlign w:val="center"/>
            <w:tcMar>
              <w:top w:w="85" w:type="dxa"/>
              <w:bottom w:w="85" w:type="dxa"/>
              <w:left w:w="95" w:type="dxa"/>
              <w:right w:w="95" w:type="dxa"/>
            </w:tcMar>
            <w:shd w:fill="FFFFFF"/>
          </w:tcPr>
          <w:p>
            <w:pPr>
              <w:pStyle w:val="TableText"/>
              <w:keepNext w:val="0"/>
              <w:keepLines/>
              <w:jc w:val="center"/>
            </w:pPr>
            <w:r>
              <w:rPr>
                <w:sz w:val="20"/>
              </w:rPr>
              <w:t>Ready</w:t>
            </w:r>
          </w:p>
        </w:tc>
        <w:tc>
          <w:tcPr>
            <w:tcW w:type="dxa" w:w="7095"/>
            <w:vAlign w:val="center"/>
            <w:tcMar>
              <w:top w:w="85" w:type="dxa"/>
              <w:bottom w:w="85" w:type="dxa"/>
              <w:left w:w="95" w:type="dxa"/>
              <w:right w:w="95" w:type="dxa"/>
            </w:tcMar>
            <w:shd w:fill="FFFFFF"/>
          </w:tcPr>
          <w:p>
            <w:pPr>
              <w:pStyle w:val="TableText"/>
              <w:keepNext w:val="0"/>
              <w:keepLines/>
            </w:pPr>
            <w:r>
              <w:rPr>
                <w:sz w:val="20"/>
              </w:rPr>
              <w:t>The next stage can begin when an authorized player chooses to proceed.</w:t>
            </w:r>
          </w:p>
        </w:tc>
      </w:tr>
      <w:tr>
        <w:trPr>
          <w:cantSplit/>
        </w:trPr>
        <w:tc>
          <w:tcPr>
            <w:tcW w:type="dxa" w:w="2898"/>
            <w:vAlign w:val="center"/>
            <w:tcMar>
              <w:top w:w="85" w:type="dxa"/>
              <w:bottom w:w="85" w:type="dxa"/>
              <w:left w:w="95" w:type="dxa"/>
              <w:right w:w="95" w:type="dxa"/>
            </w:tcMar>
            <w:shd w:fill="F3F5F6"/>
          </w:tcPr>
          <w:p>
            <w:pPr>
              <w:pStyle w:val="TableText"/>
              <w:keepNext w:val="0"/>
              <w:keepLines/>
              <w:jc w:val="center"/>
            </w:pPr>
            <w:r>
              <w:rPr>
                <w:sz w:val="20"/>
              </w:rPr>
              <w:t>Building</w:t>
            </w:r>
          </w:p>
        </w:tc>
        <w:tc>
          <w:tcPr>
            <w:tcW w:type="dxa" w:w="7095"/>
            <w:vAlign w:val="center"/>
            <w:tcMar>
              <w:top w:w="85" w:type="dxa"/>
              <w:bottom w:w="85" w:type="dxa"/>
              <w:left w:w="95" w:type="dxa"/>
              <w:right w:w="95" w:type="dxa"/>
            </w:tcMar>
            <w:shd w:fill="F3F5F6"/>
          </w:tcPr>
          <w:p>
            <w:pPr>
              <w:pStyle w:val="TableText"/>
              <w:keepNext w:val="0"/>
              <w:keepLines/>
            </w:pPr>
            <w:r>
              <w:rPr>
                <w:sz w:val="20"/>
              </w:rPr>
              <w:t>An authored construction stage is progressing while its region is active.</w:t>
            </w:r>
          </w:p>
        </w:tc>
      </w:tr>
      <w:tr>
        <w:trPr>
          <w:cantSplit/>
        </w:trPr>
        <w:tc>
          <w:tcPr>
            <w:tcW w:type="dxa" w:w="2898"/>
            <w:vAlign w:val="center"/>
            <w:tcMar>
              <w:top w:w="85" w:type="dxa"/>
              <w:bottom w:w="85" w:type="dxa"/>
              <w:left w:w="95" w:type="dxa"/>
              <w:right w:w="95" w:type="dxa"/>
            </w:tcMar>
            <w:shd w:fill="FFFFFF"/>
          </w:tcPr>
          <w:p>
            <w:pPr>
              <w:pStyle w:val="TableText"/>
              <w:keepNext w:val="0"/>
              <w:keepLines/>
              <w:jc w:val="center"/>
            </w:pPr>
            <w:r>
              <w:rPr>
                <w:sz w:val="20"/>
              </w:rPr>
              <w:t>Paused</w:t>
            </w:r>
          </w:p>
        </w:tc>
        <w:tc>
          <w:tcPr>
            <w:tcW w:type="dxa" w:w="7095"/>
            <w:vAlign w:val="center"/>
            <w:tcMar>
              <w:top w:w="85" w:type="dxa"/>
              <w:bottom w:w="85" w:type="dxa"/>
              <w:left w:w="95" w:type="dxa"/>
              <w:right w:w="95" w:type="dxa"/>
            </w:tcMar>
            <w:shd w:fill="FFFFFF"/>
          </w:tcPr>
          <w:p>
            <w:pPr>
              <w:pStyle w:val="TableText"/>
              <w:keepNext w:val="0"/>
              <w:keepLines/>
            </w:pPr>
            <w:r>
              <w:rPr>
                <w:sz w:val="20"/>
              </w:rPr>
              <w:t>Eligible participants are absent or an authorized player has manually paused supported work.</w:t>
            </w:r>
          </w:p>
        </w:tc>
      </w:tr>
      <w:tr>
        <w:trPr>
          <w:cantSplit/>
        </w:trPr>
        <w:tc>
          <w:tcPr>
            <w:tcW w:type="dxa" w:w="2898"/>
            <w:vAlign w:val="center"/>
            <w:tcMar>
              <w:top w:w="85" w:type="dxa"/>
              <w:bottom w:w="85" w:type="dxa"/>
              <w:left w:w="95" w:type="dxa"/>
              <w:right w:w="95" w:type="dxa"/>
            </w:tcMar>
            <w:shd w:fill="F3F5F6"/>
          </w:tcPr>
          <w:p>
            <w:pPr>
              <w:pStyle w:val="TableText"/>
              <w:keepNext w:val="0"/>
              <w:keepLines/>
              <w:jc w:val="center"/>
            </w:pPr>
            <w:r>
              <w:rPr>
                <w:sz w:val="20"/>
              </w:rPr>
              <w:t>Blocked</w:t>
            </w:r>
          </w:p>
        </w:tc>
        <w:tc>
          <w:tcPr>
            <w:tcW w:type="dxa" w:w="7095"/>
            <w:vAlign w:val="center"/>
            <w:tcMar>
              <w:top w:w="85" w:type="dxa"/>
              <w:bottom w:w="85" w:type="dxa"/>
              <w:left w:w="95" w:type="dxa"/>
              <w:right w:w="95" w:type="dxa"/>
            </w:tcMar>
            <w:shd w:fill="F3F5F6"/>
          </w:tcPr>
          <w:p>
            <w:pPr>
              <w:pStyle w:val="TableText"/>
              <w:keepNext w:val="0"/>
              <w:keepLines/>
            </w:pPr>
            <w:r>
              <w:rPr>
                <w:sz w:val="20"/>
              </w:rPr>
              <w:t>A specific obstruction or invalid condition requires attention; supplies and progress remain safe.</w:t>
            </w:r>
          </w:p>
        </w:tc>
      </w:tr>
      <w:tr>
        <w:trPr>
          <w:cantSplit/>
        </w:trPr>
        <w:tc>
          <w:tcPr>
            <w:tcW w:type="dxa" w:w="2898"/>
            <w:vAlign w:val="center"/>
            <w:tcMar>
              <w:top w:w="85" w:type="dxa"/>
              <w:bottom w:w="85" w:type="dxa"/>
              <w:left w:w="95" w:type="dxa"/>
              <w:right w:w="95" w:type="dxa"/>
            </w:tcMar>
            <w:shd w:fill="FFFFFF"/>
          </w:tcPr>
          <w:p>
            <w:pPr>
              <w:pStyle w:val="TableText"/>
              <w:keepNext w:val="0"/>
              <w:keepLines/>
              <w:jc w:val="center"/>
            </w:pPr>
            <w:r>
              <w:rPr>
                <w:sz w:val="20"/>
              </w:rPr>
              <w:t>Complete</w:t>
            </w:r>
          </w:p>
        </w:tc>
        <w:tc>
          <w:tcPr>
            <w:tcW w:type="dxa" w:w="7095"/>
            <w:vAlign w:val="center"/>
            <w:tcMar>
              <w:top w:w="85" w:type="dxa"/>
              <w:bottom w:w="85" w:type="dxa"/>
              <w:left w:w="95" w:type="dxa"/>
              <w:right w:w="95" w:type="dxa"/>
            </w:tcMar>
            <w:shd w:fill="FFFFFF"/>
          </w:tcPr>
          <w:p>
            <w:pPr>
              <w:pStyle w:val="TableText"/>
              <w:keepNext w:val="0"/>
              <w:keepLines/>
            </w:pPr>
            <w:r>
              <w:rPr>
                <w:sz w:val="20"/>
              </w:rPr>
              <w:t>The finished structure provides its described function.</w:t>
            </w:r>
          </w:p>
        </w:tc>
      </w:tr>
      <w:tr>
        <w:trPr>
          <w:cantSplit/>
        </w:trPr>
        <w:tc>
          <w:tcPr>
            <w:tcW w:type="dxa" w:w="2898"/>
            <w:vAlign w:val="center"/>
            <w:tcMar>
              <w:top w:w="85" w:type="dxa"/>
              <w:bottom w:w="85" w:type="dxa"/>
              <w:left w:w="95" w:type="dxa"/>
              <w:right w:w="95" w:type="dxa"/>
            </w:tcMar>
            <w:shd w:fill="F3F5F6"/>
          </w:tcPr>
          <w:p>
            <w:pPr>
              <w:pStyle w:val="TableText"/>
              <w:keepNext w:val="0"/>
              <w:keepLines/>
            </w:pPr>
            <w:r>
              <w:rPr>
                <w:sz w:val="20"/>
              </w:rPr>
              <w:t>Upgrade available</w:t>
            </w:r>
          </w:p>
        </w:tc>
        <w:tc>
          <w:tcPr>
            <w:tcW w:type="dxa" w:w="7095"/>
            <w:vAlign w:val="center"/>
            <w:tcMar>
              <w:top w:w="85" w:type="dxa"/>
              <w:bottom w:w="85" w:type="dxa"/>
              <w:left w:w="95" w:type="dxa"/>
              <w:right w:w="95" w:type="dxa"/>
            </w:tcMar>
            <w:shd w:fill="F3F5F6"/>
          </w:tcPr>
          <w:p>
            <w:pPr>
              <w:pStyle w:val="TableText"/>
              <w:keepNext w:val="0"/>
              <w:keepLines/>
            </w:pPr>
            <w:r>
              <w:rPr>
                <w:sz w:val="20"/>
              </w:rPr>
              <w:t>A separate optional or required extension can be previewed without undoing the completed structure.</w:t>
            </w:r>
          </w:p>
        </w:tc>
      </w:tr>
    </w:tbl>
    <w:p>
      <w:pPr>
        <w:spacing w:after="0" w:before="0" w:line="60" w:lineRule="exact"/>
      </w:pPr>
      <w:r>
        <w:rPr>
          <w:sz w:val="6"/>
        </w:rPr>
      </w:r>
    </w:p>
    <w:p>
      <w:pPr/>
      <w:r>
        <w:t>These are product states, not necessarily ten separate screens. The ordinary view should show only the current purpose and next useful action. Detailed contribution records, boundaries, and stage history belong behind inspection controls.</w:t>
      </w:r>
    </w:p>
    <w:p>
      <w:pPr/>
      <w:r>
        <w:t>Materials go into visible project custody. A contribution transfers real items out of the player's inventory; a progress counter alone never creates the supplied materials. Delivery is credited once, and the interface distinguishes supplied, committed to the current stage, and still required. Cancellation before irreversible assembly returns recoverable stored supplies under clear rules. Later cancellation cannot conjure back components already built into a completed section. Upgrades have their own requirements so players are not asked to pay again for the same foundation without a stated reason.</w:t>
      </w:r>
    </w:p>
    <w:p>
      <w:pPr>
        <w:pStyle w:val="Heading2"/>
      </w:pPr>
      <w:r>
        <w:t>Construction interruption and protection</w:t>
      </w:r>
    </w:p>
    <w:p>
      <w:pPr/>
      <w:r>
        <w:t>Scripted construction uses approved stages and bounded terrain adaptation. A project may level a designated pad within a permitted depth, use one of several supported foundations, or select an authored stair connection. It must reveal material terrain changes in its preview. It cannot decide to tunnel an unbounded new route, drain an entire lake, or move a player's home to make its layout fit.</w:t>
      </w:r>
    </w:p>
    <w:p>
      <w:pPr/>
      <w:r>
        <w:t>Before each meaningful stage, the project verifies its reserved space and required access. A new chest, machine, player block, or other protected obstruction causes a clear blocked state. Dangerous collisions stop work. The player sees the precise issue in the world and can move the obstruction, choose a supported alternative where available, or leave the project paused. Project construction must not silently overwrite valuable belongings or trap an occupied player inside a new wall.</w:t>
      </w:r>
    </w:p>
    <w:p>
      <w:pPr/>
      <w:r>
        <w:t>Interruption saves the last coherent stage and its committed materials. Leaving the region pauses further progress. Returning resumes from that state without repeating costs or awarding the same completion twice. If the world closes during a stage, the recovered scene must correspond to a known valid state. The requirement is consistent player-visible outcomes; the final engineering design can choose an appropriate persistence method later.</w:t>
      </w:r>
    </w:p>
    <w:p>
      <w:pPr/>
      <w:r>
        <w:t>Damaging a finished managed structure should have a stated relationship to its services. Replaceable decorative details can be more permissive than an essential airlock or lift. If meaningful player damage is allowed, the controller reports the missing supported component and offers a finite repair project. It does not award unlimited new construction credit every time a player breaks and replaces the same block. Destruction rules and permissions must be established before a project enters a shared world.</w:t>
      </w:r>
    </w:p>
    <w:p>
      <w:pPr>
        <w:pStyle w:val="Heading2"/>
      </w:pPr>
      <w:r>
        <w:t>Ownership contribution and cooperative milestones</w:t>
      </w:r>
    </w:p>
    <w:p>
      <w:pPr/>
      <w:r>
        <w:t>A project records its owner or owning group, who may change permissions, who may start stages, and who may contribute. Visitors can inspect a public-facing purpose without receiving authority to cancel construction or empty its materials. Contributors receive acknowledgment for their actual deliveries and agreed project actions. These records support clarity between friends; they should not turn cooperative play into a competitive accounting exercise.</w:t>
      </w:r>
    </w:p>
    <w:p>
      <w:pPr/>
      <w:r>
        <w:t>Major world changes are shared facts. Once a crossing is restored, everyone can see it. Personal journal completion and rewards can still depend on participation or a brief catch-up interaction. A newcomer should be able to understand the completed Old Valley and join the next stage without being forced to reconstruct a second bridge. Conversely, a player flying past during completion should not automatically receive every personal discovery reward.</w:t>
      </w:r>
    </w:p>
    <w:p>
      <w:pPr/>
      <w:r>
        <w:t>The group can decide who starts a major event, and the ready screen shows whose participation is currently expected. The product should support an ordinary small group without requiring unanimous votes for every delivery. More consequential actions, such as initiating a one-time story scene, replacing a project variant, or dismantling managed work, need appropriately stronger ownership controls. Those permissions remain visible rather than hidden in technical configuration.</w:t>
      </w:r>
    </w:p>
    <w:p>
      <w:pPr/>
      <w:r>
        <w:t>Resources and project knowledge must be distinguished. A player may discover a route personally while their group shares the ability to build the associated station. A region may record a shared milestone while each player retains their own travel history. This separation lets cooperative worlds remain coherent when people play at different times. The journal explains what is already complete, what the group can do next, and what the individual has not yet experienced.</w:t>
      </w:r>
    </w:p>
    <w:p>
      <w:pPr>
        <w:pStyle w:val="Heading2"/>
      </w:pPr>
      <w:r>
        <w:t>Personal homes free building and useful logistics</w:t>
      </w:r>
    </w:p>
    <w:p>
      <w:pPr/>
      <w:r>
        <w:t>The player's personal home should remain relevant throughout the game. It can be a guesthouse room, a freely built cottage, a deep workshop, a shared base, or a room within a supported outpost. It is where trophies, maps, favorite materials, and equipment tell the story of the player's choices. Managed settlement progression should create more options for home life, not replace personal ownership with compulsory standardized housing.</w:t>
      </w:r>
    </w:p>
    <w:p>
      <w:pPr/>
      <w:r>
        <w:t>Provide deliberate space around authored projects for additions that do not interfere with their function. A settlement might expose several supported attachment points for terraces, gardens, or decorative frontage while leaving a broader nearby area available for completely free construction. Clearly distinguish optional supported upgrades from player builds. A beautiful handmade tower needs no fictional productivity score to justify its existence.</w:t>
      </w:r>
    </w:p>
    <w:p>
      <w:pPr/>
      <w:r>
        <w:t>Logistics should grow from journeys the player has already learned. Early carrying and local storage teach the landscape. A repaired route, freight service, or transit link can later reduce repetitive transport between established points. Unlocking convenience feels earned when the player has surveyed the route and constructed its endpoints. Transport cannot move arbitrary cargo to an undiscovered destination simply because a menu can name it.</w:t>
      </w:r>
    </w:p>
    <w:p>
      <w:pPr/>
      <w:r>
        <w:t>Production chains should stay readable. A local input becomes a prepared material, which supports a project component or useful service. Deeper specialization can add choices, but long chains need a clear player-facing reason. Storage capacity and queued work should be visible. Small amounts of ordinary maintenance can create texture; constant fuel shuttling between a dozen finished sites would undermine the intended exploration experience.</w:t>
      </w:r>
    </w:p>
    <w:p>
      <w:pPr/>
      <w:r>
        <w:t>Ecological stewardship should also express understandable local choices. A Deepwilds field station can offer a protected harvesting area, cultivated alternatives, or a restoration project after deliberate clearing. The consequence is visible habitat and access to useful resources. Avoid an invisible universal ecological score that punishes ordinary gathering. A player should know which site is protected, what action changes it, and how to repair an unintended local consequence without a prolonged grind.</w:t>
      </w:r>
    </w:p>
    <w:p>
      <w:bookmarkStart w:id="15" w:name="chapter_15"/>
      <w:pPr>
        <w:pStyle w:val="Heading1"/>
      </w:pPr>
      <w:r>
        <w:t>Connected adventures and player experience</w:t>
      </w:r>
      <w:bookmarkEnd w:id="15"/>
    </w:p>
    <w:p>
      <w:pPr/>
      <w:r>
        <w:t>These episodes are detailed projects within the atlas anchors, rather than three additional mandatory settlements. The sheltered water develops a Conservatory water-service project within the Canopy-to-River Circuit. Freight through the dark develops an Underreach Junction project within the Three-Landing Supply Route. A light across the gap develops the Abyss Beacon Refuge and its Far-Shelf Survey. Their art and future roadmap references should point to those shared places.</w:t>
      </w:r>
    </w:p>
    <w:p>
      <w:pPr>
        <w:pStyle w:val="Heading3"/>
      </w:pPr>
      <w:r>
        <w:t>The sheltered water Deepwilds</w:t>
      </w:r>
    </w:p>
    <w:p>
      <w:pPr/>
      <w:r>
        <w:t>The player finds a promising refuge site near a striking living water system. A field specialist wants to study the area without turning the entire cavity into a construction zone. The first task is observation: inspect a few authored points, identify a safe water-service location, and mark the path back. A small material delivery then constructs a sheltered station on a supported footprint.</w:t>
      </w:r>
    </w:p>
    <w:p>
      <w:pPr/>
      <w:r>
        <w:t>Its second stage creates a walkway or controlled access point and a practical water service. The player chooses between approved placements or service variants where the site's topology supports them. Completing the project improves expedition preparation and opens a local cultivation or research opportunity. The original environment remains the dominant experience. If the player blocks a required connection, the station explains the local conflict rather than attempting to reshape the whole cavity.</w:t>
      </w:r>
    </w:p>
    <w:p>
      <w:pPr>
        <w:pStyle w:val="Heading3"/>
      </w:pPr>
      <w:r>
        <w:t>Freight through the dark Underreach</w:t>
      </w:r>
    </w:p>
    <w:p>
      <w:pPr/>
      <w:r>
        <w:t>A partially connected transit site suggests that useful routes once converged here. The adventure asks the player to survey two supported approaches, retrieve information or a component from a nearby authored structure, and restore a central handling area. The player encounters the surrounding Underreach through a purposeful loop: outward by one route, an informative landmark, and a return that reveals why the hub matters.</w:t>
      </w:r>
    </w:p>
    <w:p>
      <w:pPr/>
      <w:r>
        <w:t>The completed exchange connects already reached places and supports a bounded freight service. A specialist or visitor can use it once its local conditions are satisfied. The reward is a changed journey and a working regional hub. Optional expansion adds storage or another supported connection. It does not automatically lay rails through unexplored terrain or transport cargo through a route that has never been established.</w:t>
      </w:r>
    </w:p>
    <w:p>
      <w:pPr>
        <w:pStyle w:val="Heading3"/>
      </w:pPr>
      <w:r>
        <w:t>A light across the gap Abyss</w:t>
      </w:r>
    </w:p>
    <w:p>
      <w:pPr/>
      <w:r>
        <w:t>From a secure ledge, the player can see a dormant refuge signal across an unsettling expanse. Reaching it is a navigation and preparation challenge with authored rest points and readable route clues. The first visit restores only emergency shelter and the signal. A later project brings in the materials for a more capable refuge, allowing a deeper expedition to begin from a reliable foothold.</w:t>
      </w:r>
    </w:p>
    <w:p>
      <w:pPr/>
      <w:r>
        <w:t>This story should respect the scale and danger of the Abyss. The refuge is small, purposeful, and visibly anchored. A complete project might provide orientation, a recovery cache, and an expedition staging service, while leaving the surrounding world demanding. Reaching the opposite side changes the player's emotional map of the layer: a distant light becomes a place they know. Failure returns them to an understandable recovery problem rather than deleting the only route forward.</w:t>
      </w:r>
    </w:p>
    <w:p>
      <w:pPr>
        <w:pStyle w:val="Heading2"/>
      </w:pPr>
      <w:r>
        <w:t>Planetary outpost adventure examples</w:t>
      </w:r>
    </w:p>
    <w:p>
      <w:pPr>
        <w:pStyle w:val="Heading3"/>
      </w:pPr>
      <w:r>
        <w:t>The first sealed room the first lunar outpost</w:t>
      </w:r>
    </w:p>
    <w:p>
      <w:pPr/>
      <w:r>
        <w:t>Arrival begins with a safe foothold provided by the expedition's landing capability. Immediate survival equipment, transit shelter, and return supplies arrive with the expedition. The player surveys a supported base site and deploys the first habitat project. The construction sequence makes shelter comprehensible: foundation or anchoring, enclosure, utility connection, and a working entrance appropriate to the environment. Completing the project creates a larger, more useful place where the player can stop, organize, and look out at the world they have reached.</w:t>
      </w:r>
    </w:p>
    <w:p>
      <w:pPr/>
      <w:r>
        <w:t>Further stages add a laboratory or local survey service and a deliberate supply link. The objective is to learn how this world's needs differ from the Old Valley without repeating the entire surface opening. A return capability is part of expedition planning; failure to find one incidental material should not strand the player permanently. Managed habitat services obey regional pause rules and cannot kill absent residents through hidden consumption.</w:t>
      </w:r>
    </w:p>
    <w:p>
      <w:pPr>
        <w:pStyle w:val="Heading3"/>
      </w:pPr>
      <w:r>
        <w:t>A garden with a purpose a dusty frontier outpost</w:t>
      </w:r>
    </w:p>
    <w:p>
      <w:pPr/>
      <w:r>
        <w:t>A later destination offers a protected growing project as part of a larger settlement. The adventure links field observations, an appropriate local resource, and a supported environmental module. Its payoff is a lived-in place with a useful preparation or supply service. The garden provides color and daily activity against an exposed landscape, giving the outpost an identity beyond rows of storage.</w:t>
      </w:r>
    </w:p>
    <w:p>
      <w:pPr/>
      <w:r>
        <w:t>Optional stages expand the range of supported crops or improve expedition provisions, subject to the final planetary design. The important choice is how this base contributes to the network: a scientific stop, a supply station, or a more inhabited community where supported variants exist. No base is required to contain every service. Specialization gives travel a reason after the initial discovery.</w:t>
      </w:r>
    </w:p>
    <w:p>
      <w:pPr>
        <w:pStyle w:val="Heading3"/>
      </w:pPr>
      <w:r>
        <w:t>The long return a distant ice outpost</w:t>
      </w:r>
    </w:p>
    <w:p>
      <w:pPr/>
      <w:r>
        <w:t>A remote expedition benefits from establishing a reliable transfer and recovery point. The player first restores a modest shelter, then a signal or communications function, then a freight or return-support service compatible with the transport progression. The expedition retains its prepared route home throughout the project. Environmental beauty and distance provide the atmosphere; authored tasks make the location learnable.</w:t>
      </w:r>
    </w:p>
    <w:p>
      <w:pPr/>
      <w:r>
        <w:t>The completed outpost changes future expeditions by making a previously intimidating journey repeatable. A follow-up visitor or research project can arrive only after that capability exists. Its story concerns human-scale persistence in a remote place, not an endless emergency alarm. The paused base keeps its authored supplies and state intact when the player goes home.</w:t>
      </w:r>
    </w:p>
    <w:p>
      <w:pPr>
        <w:pStyle w:val="Heading2"/>
      </w:pPr>
      <w:r>
        <w:t>Discovery quests journals and cartography</w:t>
      </w:r>
    </w:p>
    <w:p>
      <w:pPr/>
      <w:r>
        <w:t>Adventure information should begin in the world. A damaged road invites inspection. A light suggests a destination. A resident mentions a landmark visible from the settlement. A specimen raises a question about a deeper layer. The journal records those invitations so the player can take a break without losing their place; it should not replace noticing the environment with a list of map pins.</w:t>
      </w:r>
    </w:p>
    <w:p>
      <w:pPr/>
      <w:r>
        <w:t>Use three useful categories of activity: the main chapter path, optional local projects, and personal discoveries. The main path describes the current purpose and next substantial step. Optional projects explain their resulting service or experience before the player invests. Discoveries preserve observations, routes, and questions even when they have no immediate quest reward. This keeps exploration valuable outside the authored spine.</w:t>
      </w:r>
    </w:p>
    <w:p>
      <w:pPr/>
      <w:r>
        <w:t>Quest tasks should ask for varied actions: inspect, travel, compare, recover, survey, construct, prepare, demonstrate, and return with a finding. Gathering has a place, especially when introducing a new material, but every chapter should contain a memorable activity beyond delivering a larger quantity of something familiar. Project milestones should expose new decisions or experiences rather than merely raising the next delivery number.</w:t>
      </w:r>
    </w:p>
    <w:p>
      <w:pPr/>
      <w:r>
        <w:t>The journal needs a concise return-to-play view: where the player was working, what changed, what is waiting, and the nearest sensible next action. Project entries show the site's purpose, stage, needed inputs, activity state, and access. Character entries preserve useful relationships and discoveries. Completed chapters remain readable as the history of this world instead of disappearing from the interface.</w:t>
      </w:r>
    </w:p>
    <w:p>
      <w:pPr/>
      <w:r>
        <w:t>Maps distinguish known routes, personal markers, surveyed sites, and unexplored possibilities. Underground navigation needs layer and height context, recognizable entrances, and a way to understand transitions between connected places. Planetary maps need landing sites and return points. A player should be able to name a discovered location for personal use without overwriting the shared identity of an authored settlement. Exact map sophistication can scale with progression, while basic orientation remains accessible.</w:t>
      </w:r>
    </w:p>
    <w:p>
      <w:pPr>
        <w:pStyle w:val="Heading2"/>
      </w:pPr>
      <w:r>
        <w:t>Interaction accessibility danger and recovery</w:t>
      </w:r>
    </w:p>
    <w:p>
      <w:pPr/>
      <w:r>
        <w:t>The presentation should make important state readable in more than one way. A project cannot communicate its only obstruction through red versus green coloring. Paused and active states need text or an icon with an explanation. Essential directions should survive reduced particles, reduced visual effects, and quieter audio settings. Dialogue should remain reviewable after it closes, and a missed ambient line must not contain the sole instruction needed to progress.</w:t>
      </w:r>
    </w:p>
    <w:p>
      <w:pPr/>
      <w:r>
        <w:t>Construction previews need strong but adjustable readability against rock, foliage, and dark spaces. A compact ordinary display should reveal current stage and remaining materials; players who need it can open a detailed view. Repetitive confirmations should be minimized for ordinary deliveries. Consequential actions need clear descriptions, especially when shared projects or irreversible construction stages are involved.</w:t>
      </w:r>
    </w:p>
    <w:p>
      <w:pPr/>
      <w:r>
        <w:t>Combat should support a place's experience and the player's preparations. An authored encounter can defend a route, dramatize an abandoned site, or test a new expedition capability. It should have an understandable beginning, objective, and recovery state. Random interference must not repeatedly interrupt long conversations or trap a player inside a project interface. Safe settlement areas and dangerous approaches need readable boundaries and behavior.</w:t>
      </w:r>
    </w:p>
    <w:p>
      <w:pPr/>
      <w:r>
        <w:t>Death recovery should protect the adventure's continuity while allowing the surrounding survival game to retain stakes. Essential knowledge stays recorded. Unique progression objects need an explicit recovery path. The player should understand where their expedition failed and how to attempt recovery with available equipment. A failed first attempt must not require the lost equipment to obtain the only replacement for that equipment.</w:t>
      </w:r>
    </w:p>
    <w:p>
      <w:pPr/>
      <w:r>
        <w:t>Difficulty options should separate environmental and combat pressure from the basic ability to enjoy the authored settlement story. Supported settings can change encounter intensity, recovery generosity, or resource demand within designed bounds. They should not silently disable entire chapters. Cooperative scaling must consider the actual participating group and avoid counting distant or nonparticipating players as if they were helping in the encounter.</w:t>
      </w:r>
    </w:p>
    <w:p>
      <w:pPr>
        <w:pStyle w:val="Heading2"/>
      </w:pPr>
      <w:r>
        <w:t>What completion should feel like</w:t>
      </w:r>
    </w:p>
    <w:p>
      <w:pPr/>
      <w:r>
        <w:t>The Old Valley is successful when the player can walk through it and remember why each main place works, recognize the people who use it, and identify a natural next journey. Its structures must remain useful after the first market. A late-game return should reveal a familiar home with optional room to grow, rather than an obsolete tutorial village.</w:t>
      </w:r>
    </w:p>
    <w:p>
      <w:pPr/>
      <w:r>
        <w:t>The underground settlement sequence is successful when each new foothold changes how the player understands its surrounding layer. A Shallows station introduces descent. A Deepwilds field site makes a living environment approachable. An Underreach hub connects work and movement. An Abyss refuge gives meaning to a distant light. Mantle and Core support remain limited and deliberate so the extremes retain their scale.</w:t>
      </w:r>
    </w:p>
    <w:p>
      <w:pPr/>
      <w:r>
        <w:t>Planetary communities are successful when the player's network contains places with distinct purposes, appearances, and memories. Home remains a choice. The player can prefer the valley, build a life below it, settle on another world, or maintain several personal spaces. SUBSTELLAR gives those choices functional support and a coherent authored journey while preserving the freedom to spend an entire evening building something simply because they want it there.</w:t>
      </w:r>
    </w:p>
    <w:p>
      <w:bookmarkStart w:id="16" w:name="chapter_16"/>
      <w:pPr>
        <w:pStyle w:val="Heading1"/>
      </w:pPr>
      <w:r>
        <w:t>Life ecology and encounters</w:t>
      </w:r>
      <w:bookmarkEnd w:id="16"/>
    </w:p>
    <w:p>
      <w:pPr/>
      <w:r>
        <w:t>Life should make a region more understandable and worth returning to. A creature can reveal a path, occupy a recognizable territory, provide a renewable product, or make a settlement feel inhabited. A plant can connect food, materials, light, and cultivation. Many discoveries should reward observation and careful gathering. Every essential biological supply needs a practical source that does not depend on repeatedly killing a rare creature.</w:t>
      </w:r>
    </w:p>
    <w:p>
      <w:pPr>
        <w:pStyle w:val="Heading2"/>
      </w:pPr>
      <w:r>
        <w:t>Creature roster</w:t>
      </w:r>
    </w:p>
    <w:p>
      <w:pPr>
        <w:pStyle w:val="Heading3"/>
      </w:pPr>
      <w:r>
        <w:t>BIO01 Pebbleback</w:t>
      </w:r>
    </w:p>
    <w:p>
      <w:pPr/>
      <w:r>
        <w:t>A squat, broad-footed amphibian with a rounded, stone-colored back lives around Bluewater Quarry Coast and Glasswell Pools. Pebblebacks move between shallow feeding patches and dry basking stones, making safe water margins easier to recognize. Their foraging occasionally exposes an existing plant cutting or loose specimen; it never generates fresh ore. Players can watch, feed, or gently redirect them. Sudden movement makes them retreat into water. They are an approachable first wildlife encounter, with observation and a useful shoreline route as the main rewards.</w:t>
      </w:r>
    </w:p>
    <w:p>
      <w:pPr>
        <w:pStyle w:val="Heading3"/>
      </w:pPr>
      <w:r>
        <w:t>BIO02 Wickmoth</w:t>
      </w:r>
    </w:p>
    <w:p>
      <w:pPr/>
      <w:r>
        <w:t>Pale, broad-winged moths gather in Rootlace Galleries and near damp Deepwilds entrances. Their folded silhouette resembles a small leaf against stone. They settle near particular luminous colonies and become active when local light changes, suggesting where biolume sources may be found. A portable lamp can attract them briefly; a covered lamp or slower approach keeps a sample site clear. Their reward is discovery and atmosphere. Wings are not a compulsory crafting ingredient, and settlement lighting should not produce an uncontrolled swarm.</w:t>
      </w:r>
    </w:p>
    <w:p>
      <w:pPr>
        <w:pStyle w:val="Heading3"/>
      </w:pPr>
      <w:r>
        <w:t>BIO03 Tunneltuft</w:t>
      </w:r>
    </w:p>
    <w:p>
      <w:pPr/>
      <w:r>
        <w:t>A compact burrowing mammal with strong forefeet and a conspicuous tufted tail inhabits Copperwash Channels and Drybell Vaults. It works designated loose-material pockets, leaving small scrape patterns that can point toward an existing resource exposure. Players observe its preferred food and establish a feeding spot away from a work route. Approaching a den causes warning taps and retreat. It cannot excavate player foundations or tunnel through arbitrary walls. Field notes, recovered loose samples, and a more readable mining area reward attention.</w:t>
      </w:r>
    </w:p>
    <w:p>
      <w:pPr>
        <w:pStyle w:val="Heading3"/>
      </w:pPr>
      <w:r>
        <w:t>BIO04 Mossback</w:t>
      </w:r>
    </w:p>
    <w:p>
      <w:pPr/>
      <w:r>
        <w:t>Heavy, gently rounded grazers move through Lanternroot Forests and Sporemeadow Basins. Low vegetation clings to their broad backs, giving the herd a recognizable moving silhouette. They follow a few local feeding paths and rest in clearings. Calm animals leave recoverable plant cuttings and compostable material; rare decorative variation can reward observation. Adults defend young with a warning posture before a short charge. Players use distance, alternate paths, or a prepared feeding clearing. A Mossback habitat can become a valued neighbor to a conservatory.</w:t>
      </w:r>
    </w:p>
    <w:p>
      <w:pPr>
        <w:pStyle w:val="Heading3"/>
      </w:pPr>
      <w:r>
        <w:t>BIO05 Canopy Skimmer</w:t>
      </w:r>
    </w:p>
    <w:p>
      <w:pPr/>
      <w:r>
        <w:t>A slender climbing animal with broad side membranes lives in Hanging Gardens. It travels between approved perches by short glides, revealing local connectivity without automatically guiding the player to every secret. Its outline is readable against the cavern roof, while movement remains uncommon enough to notice. Players can observe from a balcony or place a feeding perch near a garden. Disturbing a nest triggers loud warning calls and withdrawal. The reward is a journal discovery, route knowledge, and optional wildlife activity near a well-sited settlement.</w:t>
      </w:r>
    </w:p>
    <w:p>
      <w:pPr>
        <w:pStyle w:val="Heading3"/>
      </w:pPr>
      <w:r>
        <w:t>BIO06 Fenpaddle</w:t>
      </w:r>
    </w:p>
    <w:p>
      <w:pPr/>
      <w:r>
        <w:t>A long-bodied swimmer with a flat tail and reedlike whiskers occupies Bluefen Groves. It gathers floating plant fragments into small resting platforms along sheltered banks. Watching those platforms helps players distinguish quiet coves from deeper channels. Loose cuttings provide a renewable gathering reward when collected outside an occupied nest. Players can offer a separate resting platform or leave a clear passage beneath their dock. Crowding a nest causes splashing and a defensive tail sweep. Routine behavior never dismantles player buildings or steals storage contents.</w:t>
      </w:r>
    </w:p>
    <w:p>
      <w:pPr>
        <w:pStyle w:val="Heading3"/>
      </w:pPr>
      <w:r>
        <w:t>BIO07 Slateback</w:t>
      </w:r>
    </w:p>
    <w:p>
      <w:pPr/>
      <w:r>
        <w:t>A large, low reptile with overlapping dark plates inhabits Ironfold Ridges and selected Underreach route junctions. It rests against warm stone and patrols a compact territory. Ground scrapes, polished resting patches, and a repeated warning call identify its presence. A threatened Slateback lowers its head before committing to a straight charge, leaving time to reach shelter. Players can take another route, redirect its attention, or fight if desired. Securing passage is the principal reward; no unique progression ingredient requires killing it.</w:t>
      </w:r>
    </w:p>
    <w:p>
      <w:pPr>
        <w:pStyle w:val="Heading3"/>
      </w:pPr>
      <w:r>
        <w:t>BIO08 Rillfin</w:t>
      </w:r>
    </w:p>
    <w:p>
      <w:pPr/>
      <w:r>
        <w:t>A sturdy river fish with a tall dorsal fin inhabits Rivergate Country, Blackriver Galleries, and suitable connected pools. Small groups favor particular depth edges and shaded banks, creating recognizable fishing spots. Different bait categories and quieter landings improve fishing choices without requiring a large tackle system. Rillfin can provide ordinary food or be released after recording a specimen. Visible feeding activity helps players locate fish. Local recovery rules keep managed fishing useful while preventing one small pool from becoming an endless instant supply.</w:t>
      </w:r>
    </w:p>
    <w:p>
      <w:pPr>
        <w:pStyle w:val="Heading3"/>
      </w:pPr>
      <w:r>
        <w:t>BIO09 Veilray</w:t>
      </w:r>
    </w:p>
    <w:p>
      <w:pPr/>
      <w:r>
        <w:t>A broad-finned aquatic creature moves slowly through Stillsea Basin. A restrained pale edge makes its shape visible near a lamp; its body remains dark and animal-like. Veilrays follow deeper channels and sweep sediment at existing mineral beds, offering clues for prepared divers. Players gain route knowledge and access to already generated loose material. Keeping distance or waiting for a pass is safe; crowding one causes a readable fin sweep. It is a memorable encounter in open water, not a mandatory underwater enemy.</w:t>
      </w:r>
    </w:p>
    <w:p>
      <w:pPr>
        <w:pStyle w:val="Heading3"/>
      </w:pPr>
      <w:r>
        <w:t>BIO10 Shelfstalker</w:t>
      </w:r>
    </w:p>
    <w:p>
      <w:pPr/>
      <w:r>
        <w:t>A lean climbing predator with broad gripping feet occupies selected Pillarfall Reaches and Whisper Chasms. It watches from exposed perches whose claw marks and discarded feeding remains are readable without graphic detail. The animal tracks a target briefly, gives a low call, and commits to a short leap with a clear recovery period. Players can use cover, a distraction, steady light, or a different shelf. Fighting remains available. The reward is access to a route or den-side discovery, with no compulsory trophy collection.</w:t>
      </w:r>
    </w:p>
    <w:p>
      <w:pPr>
        <w:pStyle w:val="Heading3"/>
      </w:pPr>
      <w:r>
        <w:t>BIO11 Emberback</w:t>
      </w:r>
    </w:p>
    <w:p>
      <w:pPr/>
      <w:r>
        <w:t>A stocky, dark salamander-like animal shelters around Ember Gardens and cooler Steamvault pools. Small warm markings are brightest near active vents. Emberbacks move toward protected ground before a local vent cycle, providing a useful cue that also appears through sound and environmental signs. Players observe, avoid crowding, and cultivate nearby growth without domesticating the entire habitat. A defensive warning comes before contact damage. Knowledge, a cultivation observation, and safer timing reward the encounter; harvested bodies do not substitute for thermal preparation.</w:t>
      </w:r>
    </w:p>
    <w:p>
      <w:pPr>
        <w:pStyle w:val="Heading3"/>
      </w:pPr>
      <w:r>
        <w:t>BIO12 Stillhorn</w:t>
      </w:r>
    </w:p>
    <w:p>
      <w:pPr/>
      <w:r>
        <w:t>A tall, quiet grazer with low branching horns appears in selected Stillwater Sanctuaries and sheltered Core shelves. Its horns resemble local mineral forms without being presented as literal crystals to mine. It follows gentle feeding circuits, pauses beside clear water, and yields space when approached patiently. Observing its preferred plants helps identify a cultivation site. A threatened animal retreats toward a visible refuge. The reward is a rare peaceful encounter and a habitat record. Its origin remains open, without making it a messenger or cosmic authority.</w:t>
      </w:r>
    </w:p>
    <w:p>
      <w:pPr>
        <w:pStyle w:val="Heading2"/>
      </w:pPr>
      <w:r>
        <w:t>Plant and fungal roster</w:t>
      </w:r>
    </w:p>
    <w:p>
      <w:pPr>
        <w:pStyle w:val="Heading3"/>
      </w:pPr>
      <w:r>
        <w:t>FL01 Tideleaf</w:t>
      </w:r>
    </w:p>
    <w:p>
      <w:pPr/>
      <w:r>
        <w:t>Broad submerged leaves and fine waving stems define the blue water of Quarry Coast shallows. Tideleaf provides ordinary underwater vegetation, a modest cooking ingredient, and a decorative plant. Harvesting a portion leaves the rooted base intact. Cultivation asks for shallow water and an appropriate bed. Players learn depth by observing its distribution; dense-looking patches should never secretly immobilize them. Its visual priority is clear form beneath water, including in the baseline renderer.</w:t>
      </w:r>
    </w:p>
    <w:p>
      <w:pPr>
        <w:pStyle w:val="Heading3"/>
      </w:pPr>
      <w:r>
        <w:t>FL02 Springfern</w:t>
      </w:r>
    </w:p>
    <w:p>
      <w:pPr/>
      <w:r>
        <w:t>Layered fern fronds occupy Rainwood Hollows and damp Shallows entrances. Tender growth supports a simple cooked-food use; mature plants provide decoration and propagation stock. A shaded, damp bed is sufficient for cultivation. Harvestable growth has a distinct shape, with journal guidance preventing guesswork about edible forms. Springfern connects the familiar surface garden to the first underground garden and stays useful through ordinary cooking.</w:t>
      </w:r>
    </w:p>
    <w:p>
      <w:pPr>
        <w:pStyle w:val="Heading3"/>
      </w:pPr>
      <w:r>
        <w:t>FL03 Lanternroot</w:t>
      </w:r>
    </w:p>
    <w:p>
      <w:pPr/>
      <w:r>
        <w:t xml:space="preserve">Large natural root structures support a smaller harvestable growth family in Lanternroot Forests. Mature points provide </w:t>
      </w:r>
      <w:r>
        <w:rPr>
          <w:b/>
        </w:rPr>
        <w:t>Root resin, MAT10</w:t>
      </w:r>
      <w:r>
        <w:t>, using visible amber beads and bounded regrowth. Limited luminous growth contributes to the habitat without lighting every surface. Players cultivate manageable root frames in suitable damp beds; the cultivated form need not reproduce an entire giant cavern column. Cutting every visible root should not be necessary to obtain routine seals and repairs.</w:t>
      </w:r>
    </w:p>
    <w:p>
      <w:pPr>
        <w:pStyle w:val="Heading3"/>
      </w:pPr>
      <w:r>
        <w:t>FL04 Breadcap</w:t>
      </w:r>
    </w:p>
    <w:p>
      <w:pPr/>
      <w:r>
        <w:t>Thick, pale-capped fungi gather in Sporemeadow Basins. Their broad caps and stout stems make the food source recognizable at a distance. Breadcap supports soups, cooked portions, and preserved expedition meals through shared food systems. Prepared mycelial loam and shade provide understandable growing conditions. A mature cap can be harvested while its bed remains productive. Unharvested beds may gain decorative variation without requiring a hidden spoilage simulation.</w:t>
      </w:r>
    </w:p>
    <w:p>
      <w:pPr>
        <w:pStyle w:val="Heading3"/>
      </w:pPr>
      <w:r>
        <w:t>FL05 Threadmoss</w:t>
      </w:r>
    </w:p>
    <w:p>
      <w:pPr/>
      <w:r>
        <w:t xml:space="preserve">This fictional fungal mat forms pale looping strands across sheltered Deepwilds beds. It is the primary clear living source of </w:t>
      </w:r>
      <w:r>
        <w:rPr>
          <w:b/>
        </w:rPr>
        <w:t>Spore fiber, MAT11</w:t>
      </w:r>
      <w:r>
        <w:t>. A combing interaction or simple cultivation tool gathers mature strands while preserving the base. Controlled moisture and a suitable substrate support growth. Dense natural patches may share a visibly marked spore hazard with nearby fungi; cultivated textile beds should provide a practical, comfortable renewable supply.</w:t>
      </w:r>
    </w:p>
    <w:p>
      <w:pPr>
        <w:pStyle w:val="Heading3"/>
      </w:pPr>
      <w:r>
        <w:t>FL06 Ironbark</w:t>
      </w:r>
    </w:p>
    <w:p>
      <w:pPr/>
      <w:r>
        <w:t xml:space="preserve">Dark woody growth in Quietwood Hollows and selected Hanging Gardens has long, fibrous grain and modest foliage. Carefully marked bark strips yield </w:t>
      </w:r>
      <w:r>
        <w:rPr>
          <w:b/>
        </w:rPr>
        <w:t>Ironbark fiber, MAT18</w:t>
      </w:r>
      <w:r>
        <w:t>. Cultivation uses managed growth frames or modest trees, giving players a renewable rope and panel supply without requiring full natural canopy generation. A recovered cutting unlocks the growing method. Decorative wood forms should share the same grain language as processed material.</w:t>
      </w:r>
    </w:p>
    <w:p>
      <w:pPr>
        <w:pStyle w:val="Heading3"/>
      </w:pPr>
      <w:r>
        <w:t>FL07 Loamweave</w:t>
      </w:r>
    </w:p>
    <w:p>
      <w:pPr/>
      <w:r>
        <w:t xml:space="preserve">A restrained pale fungal network binds healthy dark soil beneath Deepwilds growth. Gathering suitable patches or maintaining an approved compost bed produces </w:t>
      </w:r>
      <w:r>
        <w:rPr>
          <w:b/>
        </w:rPr>
        <w:t>Mycelial loam, MAT17</w:t>
      </w:r>
      <w:r>
        <w:t>. The living network is visible at exposed edges and in prepared beds. Players combine ordinary organic input with a starter culture through a bounded cultivation process. Loamweave never spreads indefinitely across arbitrary blocks; healthy plots have explicit size and input requirements.</w:t>
      </w:r>
    </w:p>
    <w:p>
      <w:pPr>
        <w:pStyle w:val="Heading3"/>
      </w:pPr>
      <w:r>
        <w:t>FL08 Glowcup</w:t>
      </w:r>
    </w:p>
    <w:p>
      <w:pPr/>
      <w:r>
        <w:t xml:space="preserve">Small cup-shaped colonies cling to damp stone near Deepwilds water and selected Abyss shores. Their protected interior supports </w:t>
      </w:r>
      <w:r>
        <w:rPr>
          <w:b/>
        </w:rPr>
        <w:t>Biolume culture, MAT19</w:t>
      </w:r>
      <w:r>
        <w:t>, collected using a sample container. Cool light is concentrated inside each cup. Cultivation provides route markers and low-intensity living lamps, with a dependable early Deepwilds source. Harvesting an entire rare natural colony is unnecessary. Alternate shapes and placement cues preserve navigation when color or bloom is reduced.</w:t>
      </w:r>
    </w:p>
    <w:p>
      <w:pPr>
        <w:pStyle w:val="Heading3"/>
      </w:pPr>
      <w:r>
        <w:t>FL09 Emberreed</w:t>
      </w:r>
    </w:p>
    <w:p>
      <w:pPr/>
      <w:r>
        <w:t>Stiff dark reeds with warm seed heads occupy protected Ember Gardens and Steamvault margins. They provide regional cooking ingredients, decorative growth, and optional supports for cultivation projects. A warm, wet managed bed reproduces their needs. Natural harvesting rewards observing nearby vent cycles; the plant itself does not grant unexplained heat immunity. Its silhouette should differ clearly from Tideleaf and Springfern, making a thermal garden recognizable before its equipment is examined.</w:t>
      </w:r>
    </w:p>
    <w:p>
      <w:pPr>
        <w:pStyle w:val="Heading3"/>
      </w:pPr>
      <w:r>
        <w:t>FL10 Glassleaf</w:t>
      </w:r>
    </w:p>
    <w:p>
      <w:pPr/>
      <w:r>
        <w:t>Broad, faintly translucent leaves grow around selected Stillwater Sanctuaries. Their pale veins catch existing light, with little self-emission. Glassleaf is an optional Core cultivation and display reward, supporting a distinctive garden and a recorded research observation. Clear-water beds and protected diffuse light are sufficient conditions. Samples travel in the existing living-sample kit. Cultivating one does not automatically reveal a cosmic secret or create an additional compulsory consumable.</w:t>
      </w:r>
    </w:p>
    <w:p>
      <w:pPr>
        <w:pStyle w:val="Heading2"/>
      </w:pPr>
      <w:r>
        <w:t>Food farming fishing and a useful home</w:t>
      </w:r>
    </w:p>
    <w:p>
      <w:pPr/>
      <w:r>
        <w:t>Surface crops and ordinary animal husbandry remain dependable. Underground food adds variety, location, and social life. A player can support a long journey with familiar food, while local ingredients create attractive regional dishes and convenient outpost production. The design should avoid requiring ten different nutrition meters or a unique meal for every hazard.</w:t>
      </w:r>
    </w:p>
    <w:p>
      <w:pPr/>
      <w:r>
        <w:t>Meals can emphasize a small number of clear benefits: convenient stackable travel food, a satisfying base meal, or a modest specialist preparation. Protection equipment remains responsible for serious environmental exposure. Cooking uses a shared set of techniques—simple preparation, cooking, drying, and preserving—so Breadcap, Rillfin, and Springfern can contribute to recognizable recipe families.</w:t>
      </w:r>
    </w:p>
    <w:p>
      <w:pPr/>
      <w:r>
        <w:t>Cultivation begins small. The player returns with a viable sample, learns one or two growing conditions, and prepares a bed. A later cultivation house can maintain approved conditions and fulfill bounded production orders. Growth pauses with the regional simulation when appropriate. Established crops do not die because the player spends several real-world days away.</w:t>
      </w:r>
    </w:p>
    <w:p>
      <w:pPr/>
      <w:r>
        <w:t>Fishing supports rest, observation, and supplies. Shore shape, visible activity, and water habitat help locate fish. Bait categories and optional improved equipment create a few meaningful choices. Catch-and-release recording supports collectors, while cooking supports ordinary survival. Decorative tanks or approved ponds can display collected species without requiring a full independent aquatic simulator.</w:t>
      </w:r>
    </w:p>
    <w:p>
      <w:pPr/>
      <w:r>
        <w:t>Settlements can express these systems through visible work: drying racks, prepared beds, seed shelves, a kitchen, a fish landing, and shared meals. Material outputs should consolidate where appropriate. Ten plant families do not require ten unrelated crafting currencies or ten separate processing machines.</w:t>
      </w:r>
    </w:p>
    <w:p>
      <w:pPr>
        <w:pStyle w:val="Heading2"/>
      </w:pPr>
      <w:r>
        <w:t>Four signature encounter proposals</w:t>
      </w:r>
    </w:p>
    <w:p>
      <w:pPr>
        <w:pStyle w:val="Heading3"/>
      </w:pPr>
      <w:r>
        <w:t>ENC01 The Canopy Crossing</w:t>
      </w:r>
    </w:p>
    <w:p>
      <w:pPr/>
      <w:r>
        <w:rPr>
          <w:b/>
        </w:rPr>
        <w:t>Deepwilds; cooperative construction and wildlife encounter.</w:t>
      </w:r>
      <w:r>
        <w:t xml:space="preserve"> A damaged route crosses a Mossback feeding path below a conservatory. The player surveys an upper walkway, prepares a small alternate feeding clearing, and restores a safe crossing through a staged project. The herd responds through a few readable states: resting, moving, warning, and settled. There is no need to herd an animal across arbitrary terrain. Completion opens a useful loop and gives the conservatory a visible living neighbor. This optional encounter can explicitly support a bounded commissioned alternate crossing for players who prefer free building. That local rule does not automatically extend to the five authored Old Valley chapter projects. The encounter ends with a calmer, more useful place.</w:t>
      </w:r>
    </w:p>
    <w:p>
      <w:pPr>
        <w:pStyle w:val="Heading3"/>
      </w:pPr>
      <w:r>
        <w:t>ENC02 Slateback at the Landing</w:t>
      </w:r>
    </w:p>
    <w:p>
      <w:pPr/>
      <w:r>
        <w:rPr>
          <w:b/>
        </w:rPr>
        <w:t>Underreach; boss-style territorial encounter.</w:t>
      </w:r>
      <w:r>
        <w:t xml:space="preserve"> A large Slateback occupies a landing beside an old supply route. Broad cover, clear lanes, and two exit paths support observation before commitment. Warning, charge, recovery, and withdrawal states give the encounter a memorable rhythm. Players can repair a bypass, redirect the animal toward another suitable resting pocket, or fight. The valuable outcome is a secured transport connection and recovered supplies; unique progression materials are available independently. Defeating the animal should not be the mechanically superior answer to every later specimen. The set piece concludes a local route problem rather than declaring war on a species.</w:t>
      </w:r>
    </w:p>
    <w:p>
      <w:pPr>
        <w:pStyle w:val="Heading3"/>
      </w:pPr>
      <w:r>
        <w:t>ENC03 The Far Beacon Recovery</w:t>
      </w:r>
    </w:p>
    <w:p>
      <w:pPr/>
      <w:r>
        <w:rPr>
          <w:b/>
        </w:rPr>
        <w:t>Abyss; navigation, water, and rescue preparation.</w:t>
      </w:r>
      <w:r>
        <w:t xml:space="preserve"> A survey platform across Stillsea holds equipment needed to complete the local refuge connection. The player identifies a sheltered approach, secures an intermediate landing, and crosses a bounded flooded section with a clear dry alternative. Veilray movement can hint at a submerged shelf, supplementing visible terrain cues. A damaged local sluice or pump introduces a controlled water problem within the authored site. Progress persists at safe stages; a failed attempt does not reset the whole expedition. Completion lights the far beacon and creates a practical return route visible across the water.</w:t>
      </w:r>
    </w:p>
    <w:p>
      <w:pPr>
        <w:pStyle w:val="Heading3"/>
      </w:pPr>
      <w:r>
        <w:t>ENC04 The Thermal Relay</w:t>
      </w:r>
    </w:p>
    <w:p>
      <w:pPr/>
      <w:r>
        <w:rPr>
          <w:b/>
        </w:rPr>
        <w:t>Mantle approaches; environmental climax with boss-style phases.</w:t>
      </w:r>
      <w:r>
        <w:t xml:space="preserve"> An old survey connection passes through several active vent chambers. The player restores protective panels, brings known equipment into service, and moves between secure stages while observing readable vent cycles. Each phase changes one local problem: access, shielding, or power connection. Safe rest points allow preparation and cooperative roles without demanding constant reflex play. Emberback behavior provides an optional extra clue. Completion restores an ordinary but valuable refuge link and opens a quiet outlook toward the Heart approaches. The climax demonstrates accumulated expedition skills without introducing an unexplained ancient superweapon.</w:t>
      </w:r>
    </w:p>
    <w:p>
      <w:pPr>
        <w:pStyle w:val="Heading2"/>
      </w:pPr>
      <w:r>
        <w:t>Lore and storytelling direction</w:t>
      </w:r>
    </w:p>
    <w:p>
      <w:pPr/>
      <w:r>
        <w:t>The central story is the growth of a capable community through exploration. The player is someone who observes, returns, helps, and builds. Established characters retain their names and histories; new scenes use roles until that continuity is incorporated. A field guide can interpret a route, a gardener can explain a viable sample, and a workshop specialist can turn a discovery into a project.</w:t>
      </w:r>
    </w:p>
    <w:p>
      <w:pPr/>
      <w:r>
        <w:t>History appears at several scales. Personal traces include a repaired tool, a marked lunch shelf, a maintained garden, or a practical note about a crossing. Regional history appears through old survey routes, mines, depots, and projects that outlasted their original workers. These traces can be recent, interrupted, or still useful. Every ruin does not require a vanished civilization.</w:t>
      </w:r>
    </w:p>
    <w:p>
      <w:pPr/>
      <w:r>
        <w:t>Deeper mysteries occur at selected locations and retain their uncertainty. An unusual formation, an incomplete record, or a phenomenon outside current understanding can support curiosity without becoming the explanation for all life and geology. Connections to later cosmic discoveries remain open for the planetary story. The Earth chapter should not settle those questions prematurely.</w:t>
      </w:r>
    </w:p>
    <w:p>
      <w:pPr/>
      <w:r>
        <w:t>Story advances through meaningful changes in places: a workshop opens, a crossing works, a garden grows, an expedition returns, or a settlement can support another journey. Dialogue and journal entries explain significance and choices. Optional records reward interested players, while the immediate purpose remains understandable from the environment and project interface. Multiplayer participants should share important discoveries without requiring one chosen protagonist.</w:t>
      </w:r>
    </w:p>
    <w:p>
      <w:pPr>
        <w:pStyle w:val="Heading2"/>
      </w:pPr>
      <w:r>
        <w:t>Audio music weather and visual identity</w:t>
      </w:r>
    </w:p>
    <w:p>
      <w:pPr/>
      <w:r>
        <w:t>Each realm needs a recognizable sound balance. The Overworld carries open air and familiar weather. Shallows routes emphasize nearby water and fading surface sound. The Deepwilds add localized living activity. Underreach spaces distinguish working settlements from open mineral country. The Abyss uses distance, quiet, and isolated events. The Mantle introduces identifiable vents and thermal movement. Core sanctuaries allow stillness and a few carefully placed unfamiliar sounds.</w:t>
      </w:r>
    </w:p>
    <w:p>
      <w:pPr/>
      <w:r>
        <w:t>Music should arrive in phrases, discoveries, and returns, leaving environmental listening possible. A restrained recurring expedition theme can change instrumentation or texture as the journey expands. Settlements deserve warm, lived-in musical moments. Danger cues should describe an actual event and end when it ends. Continuous ominous drones would flatten the emotional range.</w:t>
      </w:r>
    </w:p>
    <w:p>
      <w:pPr/>
      <w:r>
        <w:t>Surface rain, fog, snow, sunlight, and wind remain familiar. Underground atmosphere appears through local seepage, mist, dust, spores, and heat shimmer. A storm may be audible near an entrance, but every deep region does not need a synchronized weather system. Atmospheric effects remain bounded, readable, and optional where they obscure play or strain performance.</w:t>
      </w:r>
    </w:p>
    <w:p>
      <w:pPr/>
      <w:r>
        <w:t>Visual design starts with block-compatible silhouettes and materials that remain identifiable under ordinary lighting. Creatures need clear poses, footprint scale, and movement cues. Plants need distinct mature and harvestable states. Warm maintained lights signal useful shelter; living light stays associated with identifiable organisms. Rich blue quarry water, underwater vegetation, detailed trees, and warm sun retain their place as an accepted surface target.</w:t>
      </w:r>
    </w:p>
    <w:p>
      <w:pPr/>
      <w:r>
        <w:t>Advanced rendering can enrich that foundation with shadows, reflections, atmosphere, and material response. It must not be credited with generating missing terrain, cave forms, plant geometry, or structures. Image concepts should show baseline-playable space and identify additional assets implied by their appearance. Critical cues use shape, motion, sound, and placement together; no encounter depends solely on color, flashing light, or precise stereo hearing.</w:t>
      </w:r>
    </w:p>
    <w:p>
      <w:bookmarkStart w:id="17" w:name="chapter_17"/>
      <w:pPr>
        <w:pStyle w:val="Heading1"/>
      </w:pPr>
      <w:r>
        <w:t>Materials and the crafting economy</w:t>
      </w:r>
      <w:bookmarkEnd w:id="17"/>
    </w:p>
    <w:p>
      <w:pPr>
        <w:pStyle w:val="Heading2"/>
      </w:pPr>
      <w:r>
        <w:t>Materials should change decisions</w:t>
      </w:r>
    </w:p>
    <w:p>
      <w:pPr/>
      <w:r>
        <w:t>A new material deserves a place when it enables a recognizable use, changes a practical choice, supports a distinctive building language, or rewards learning a region. Ore depth alone is an insufficient identity. Two resources that make nearly identical pickaxes should usually become one material with different appearances, or one material and a decorative variant.</w:t>
      </w:r>
    </w:p>
    <w:p>
      <w:pPr/>
      <w:r>
        <w:t>The catalogue below proposes the initial vocabulary for the complete creative vision. Familiar Minecraft resources remain useful. New natural deposits, biological materials, and processed products have separate identities so the player can understand what was found, what was made, and why the transformation matters. Exact recipes, stack sizes, yields, durability, mining speeds, and numerical hazard protection belong to later balancing.</w:t>
      </w:r>
    </w:p>
    <w:p>
      <w:pPr/>
      <w:r>
        <w:t>Materials are assigned a first useful source rather than an exclusive universal depth. Related deposits may appear elsewhere when geology or planetary identity supports them. Early sources should teach the material clearly; later sources can improve quantity, convenience, or quality. Progression should never depend on a single destructible specimen in one structure.</w:t>
      </w:r>
    </w:p>
    <w:p>
      <w:pPr>
        <w:pStyle w:val="Heading2"/>
      </w:pPr>
      <w:r>
        <w:t>Familiar resources that remain useful</w:t>
      </w:r>
    </w:p>
    <w:p>
      <w:pPr/>
      <w:r>
        <w:t>Iron remains the practical structural metal for frames, rails, workstations, tools, and replaceable components. Copper gives early systems a recognizable electrical and fluid-handling language. Coal and charcoal support the beginning of processing and remain useful where power infrastructure is inconvenient. Redstone becomes a readable control material for machines and devices while retaining its ordinary building role.</w:t>
      </w:r>
    </w:p>
    <w:p>
      <w:pPr/>
      <w:r>
        <w:t>Gold supports delicate contacts and instruments. Quartz and glass support lenses, observation, and windows. Diamond retains a role in durable cutting surfaces and specialist tools. Lapis, emeralds, and other familiar resources can contribute to decoration, trade, and optional craft identities without becoming mandatory ingredients in every machine.</w:t>
      </w:r>
    </w:p>
    <w:p>
      <w:pPr/>
      <w:r>
        <w:t>Existing Nether and End resources should retain their identities if players visit those dimensions. The main SUBSTELLAR progression should not require defeating the vanilla End sequence merely to begin the Earth adventure. A later compatibility and balance pass can recognize exceptional vanilla equipment without making one unrelated dimension the universal solution to environmental challenges.</w:t>
      </w:r>
    </w:p>
    <w:p>
      <w:pPr>
        <w:pStyle w:val="Heading2"/>
      </w:pPr>
      <w:r>
        <w:t>Proposed Earth resource catalogue</w:t>
      </w:r>
    </w:p>
    <w:p>
      <w:pPr/>
      <w:r>
        <w:t>The following names are proposed content vocabulary. References such as MAT01 are stable design identifiers for the future content and illustration registers. A deposit appearance and a held sample should be illustrated separately whenever the two are visually different.</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22"/>
        <w:gridCol w:w="2621"/>
        <w:gridCol w:w="3226"/>
        <w:gridCol w:w="3226"/>
      </w:tblGrid>
      <w:tr>
        <w:trPr>
          <w:cantSplit/>
          <w:tblHeader w:val="true"/>
        </w:trPr>
        <w:tc>
          <w:tcPr>
            <w:tcW w:type="dxa" w:w="922"/>
            <w:vAlign w:val="center"/>
            <w:tcMar>
              <w:top w:w="85" w:type="dxa"/>
              <w:bottom w:w="85" w:type="dxa"/>
              <w:left w:w="95" w:type="dxa"/>
              <w:right w:w="95" w:type="dxa"/>
            </w:tcMar>
            <w:shd w:fill="233544"/>
          </w:tcPr>
          <w:p>
            <w:pPr>
              <w:pStyle w:val="TableText"/>
              <w:keepNext w:val="0"/>
              <w:keepLines/>
              <w:jc w:val="center"/>
            </w:pPr>
            <w:r>
              <w:rPr>
                <w:b/>
                <w:color w:val="FFFFFF"/>
                <w:sz w:val="20"/>
              </w:rPr>
              <w:t>ID</w:t>
            </w:r>
          </w:p>
        </w:tc>
        <w:tc>
          <w:tcPr>
            <w:tcW w:type="dxa" w:w="2621"/>
            <w:vAlign w:val="center"/>
            <w:tcMar>
              <w:top w:w="85" w:type="dxa"/>
              <w:bottom w:w="85" w:type="dxa"/>
              <w:left w:w="95" w:type="dxa"/>
              <w:right w:w="95" w:type="dxa"/>
            </w:tcMar>
            <w:shd w:fill="233544"/>
          </w:tcPr>
          <w:p>
            <w:pPr>
              <w:pStyle w:val="TableText"/>
              <w:keepNext w:val="0"/>
              <w:keepLines/>
            </w:pPr>
            <w:r>
              <w:rPr>
                <w:b/>
                <w:color w:val="FFFFFF"/>
                <w:sz w:val="20"/>
              </w:rPr>
              <w:t>Resource and first useful setting</w:t>
            </w:r>
          </w:p>
        </w:tc>
        <w:tc>
          <w:tcPr>
            <w:tcW w:type="dxa" w:w="3226"/>
            <w:vAlign w:val="center"/>
            <w:tcMar>
              <w:top w:w="85" w:type="dxa"/>
              <w:bottom w:w="85" w:type="dxa"/>
              <w:left w:w="95" w:type="dxa"/>
              <w:right w:w="95" w:type="dxa"/>
            </w:tcMar>
            <w:shd w:fill="233544"/>
          </w:tcPr>
          <w:p>
            <w:pPr>
              <w:pStyle w:val="TableText"/>
              <w:keepNext w:val="0"/>
              <w:keepLines/>
            </w:pPr>
            <w:r>
              <w:rPr>
                <w:b/>
                <w:color w:val="FFFFFF"/>
                <w:sz w:val="20"/>
              </w:rPr>
              <w:t>Main role</w:t>
            </w:r>
          </w:p>
        </w:tc>
        <w:tc>
          <w:tcPr>
            <w:tcW w:type="dxa" w:w="3226"/>
            <w:vAlign w:val="center"/>
            <w:tcMar>
              <w:top w:w="85" w:type="dxa"/>
              <w:bottom w:w="85" w:type="dxa"/>
              <w:left w:w="95" w:type="dxa"/>
              <w:right w:w="95" w:type="dxa"/>
            </w:tcMar>
            <w:shd w:fill="233544"/>
          </w:tcPr>
          <w:p>
            <w:pPr>
              <w:pStyle w:val="TableText"/>
              <w:keepNext w:val="0"/>
              <w:keepLines/>
            </w:pPr>
            <w:r>
              <w:rPr>
                <w:b/>
                <w:color w:val="FFFFFF"/>
                <w:sz w:val="20"/>
              </w:rPr>
              <w:t>Appearance and player recognition</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MAT01</w:t>
            </w:r>
          </w:p>
        </w:tc>
        <w:tc>
          <w:tcPr>
            <w:tcW w:type="dxa" w:w="2621"/>
            <w:vAlign w:val="center"/>
            <w:tcMar>
              <w:top w:w="85" w:type="dxa"/>
              <w:bottom w:w="85" w:type="dxa"/>
              <w:left w:w="95" w:type="dxa"/>
              <w:right w:w="95" w:type="dxa"/>
            </w:tcMar>
            <w:shd w:fill="FFFFFF"/>
          </w:tcPr>
          <w:p>
            <w:pPr>
              <w:pStyle w:val="TableText"/>
              <w:keepNext w:val="0"/>
              <w:keepLines/>
            </w:pPr>
            <w:r>
              <w:rPr>
                <w:sz w:val="20"/>
              </w:rPr>
              <w:t>Tin in shallow worked stone and sedimentary seams</w:t>
            </w:r>
          </w:p>
        </w:tc>
        <w:tc>
          <w:tcPr>
            <w:tcW w:type="dxa" w:w="3226"/>
            <w:vAlign w:val="center"/>
            <w:tcMar>
              <w:top w:w="85" w:type="dxa"/>
              <w:bottom w:w="85" w:type="dxa"/>
              <w:left w:w="95" w:type="dxa"/>
              <w:right w:w="95" w:type="dxa"/>
            </w:tcMar>
            <w:shd w:fill="FFFFFF"/>
          </w:tcPr>
          <w:p>
            <w:pPr>
              <w:pStyle w:val="TableText"/>
              <w:keepNext w:val="0"/>
              <w:keepLines/>
            </w:pPr>
            <w:r>
              <w:rPr>
                <w:sz w:val="20"/>
              </w:rPr>
              <w:t>Bronze fittings and approachable early machinery</w:t>
            </w:r>
          </w:p>
        </w:tc>
        <w:tc>
          <w:tcPr>
            <w:tcW w:type="dxa" w:w="3226"/>
            <w:vAlign w:val="center"/>
            <w:tcMar>
              <w:top w:w="85" w:type="dxa"/>
              <w:bottom w:w="85" w:type="dxa"/>
              <w:left w:w="95" w:type="dxa"/>
              <w:right w:w="95" w:type="dxa"/>
            </w:tcMar>
            <w:shd w:fill="FFFFFF"/>
          </w:tcPr>
          <w:p>
            <w:pPr>
              <w:pStyle w:val="TableText"/>
              <w:keepNext w:val="0"/>
              <w:keepLines/>
            </w:pPr>
            <w:r>
              <w:rPr>
                <w:sz w:val="20"/>
              </w:rPr>
              <w:t>Small pale metallic flecks in a dull brown matrix; recognizable without bright emission.</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MAT02</w:t>
            </w:r>
          </w:p>
        </w:tc>
        <w:tc>
          <w:tcPr>
            <w:tcW w:type="dxa" w:w="2621"/>
            <w:vAlign w:val="center"/>
            <w:tcMar>
              <w:top w:w="85" w:type="dxa"/>
              <w:bottom w:w="85" w:type="dxa"/>
              <w:left w:w="95" w:type="dxa"/>
              <w:right w:w="95" w:type="dxa"/>
            </w:tcMar>
            <w:shd w:fill="F3F5F6"/>
          </w:tcPr>
          <w:p>
            <w:pPr>
              <w:pStyle w:val="TableText"/>
              <w:keepNext w:val="0"/>
              <w:keepLines/>
            </w:pPr>
            <w:r>
              <w:rPr>
                <w:sz w:val="20"/>
              </w:rPr>
              <w:t>Nickel in deeper dense rock and certain planetary deposits</w:t>
            </w:r>
          </w:p>
        </w:tc>
        <w:tc>
          <w:tcPr>
            <w:tcW w:type="dxa" w:w="3226"/>
            <w:vAlign w:val="center"/>
            <w:tcMar>
              <w:top w:w="85" w:type="dxa"/>
              <w:bottom w:w="85" w:type="dxa"/>
              <w:left w:w="95" w:type="dxa"/>
              <w:right w:w="95" w:type="dxa"/>
            </w:tcMar>
            <w:shd w:fill="F3F5F6"/>
          </w:tcPr>
          <w:p>
            <w:pPr>
              <w:pStyle w:val="TableText"/>
              <w:keepNext w:val="0"/>
              <w:keepLines/>
            </w:pPr>
            <w:r>
              <w:rPr>
                <w:sz w:val="20"/>
              </w:rPr>
              <w:t>Durable alloys, heat-resistant fittings, long-lived components</w:t>
            </w:r>
          </w:p>
        </w:tc>
        <w:tc>
          <w:tcPr>
            <w:tcW w:type="dxa" w:w="3226"/>
            <w:vAlign w:val="center"/>
            <w:tcMar>
              <w:top w:w="85" w:type="dxa"/>
              <w:bottom w:w="85" w:type="dxa"/>
              <w:left w:w="95" w:type="dxa"/>
              <w:right w:w="95" w:type="dxa"/>
            </w:tcMar>
            <w:shd w:fill="F3F5F6"/>
          </w:tcPr>
          <w:p>
            <w:pPr>
              <w:pStyle w:val="TableText"/>
              <w:keepNext w:val="0"/>
              <w:keepLines/>
            </w:pPr>
            <w:r>
              <w:rPr>
                <w:sz w:val="20"/>
              </w:rPr>
              <w:t>Muted warm silver inclusions with a coarse irregular seam.</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MAT03</w:t>
            </w:r>
          </w:p>
        </w:tc>
        <w:tc>
          <w:tcPr>
            <w:tcW w:type="dxa" w:w="2621"/>
            <w:vAlign w:val="center"/>
            <w:tcMar>
              <w:top w:w="85" w:type="dxa"/>
              <w:bottom w:w="85" w:type="dxa"/>
              <w:left w:w="95" w:type="dxa"/>
              <w:right w:w="95" w:type="dxa"/>
            </w:tcMar>
            <w:shd w:fill="FFFFFF"/>
          </w:tcPr>
          <w:p>
            <w:pPr>
              <w:pStyle w:val="TableText"/>
              <w:keepNext w:val="0"/>
              <w:keepLines/>
            </w:pPr>
            <w:r>
              <w:rPr>
                <w:sz w:val="20"/>
              </w:rPr>
              <w:t>Alumina clay in weathered stone pockets and layered deposits</w:t>
            </w:r>
          </w:p>
        </w:tc>
        <w:tc>
          <w:tcPr>
            <w:tcW w:type="dxa" w:w="3226"/>
            <w:vAlign w:val="center"/>
            <w:tcMar>
              <w:top w:w="85" w:type="dxa"/>
              <w:bottom w:w="85" w:type="dxa"/>
              <w:left w:w="95" w:type="dxa"/>
              <w:right w:w="95" w:type="dxa"/>
            </w:tcMar>
            <w:shd w:fill="FFFFFF"/>
          </w:tcPr>
          <w:p>
            <w:pPr>
              <w:pStyle w:val="TableText"/>
              <w:keepNext w:val="0"/>
              <w:keepLines/>
            </w:pPr>
            <w:r>
              <w:rPr>
                <w:sz w:val="20"/>
              </w:rPr>
              <w:t>Lightweight metal processing and ceramic precursor</w:t>
            </w:r>
          </w:p>
        </w:tc>
        <w:tc>
          <w:tcPr>
            <w:tcW w:type="dxa" w:w="3226"/>
            <w:vAlign w:val="center"/>
            <w:tcMar>
              <w:top w:w="85" w:type="dxa"/>
              <w:bottom w:w="85" w:type="dxa"/>
              <w:left w:w="95" w:type="dxa"/>
              <w:right w:w="95" w:type="dxa"/>
            </w:tcMar>
            <w:shd w:fill="FFFFFF"/>
          </w:tcPr>
          <w:p>
            <w:pPr>
              <w:pStyle w:val="TableText"/>
              <w:keepNext w:val="0"/>
              <w:keepLines/>
            </w:pPr>
            <w:r>
              <w:rPr>
                <w:sz w:val="20"/>
              </w:rPr>
              <w:t>Chalky cream and rust bands; soft-looking material clearly distinct from metal ore.</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MAT04</w:t>
            </w:r>
          </w:p>
        </w:tc>
        <w:tc>
          <w:tcPr>
            <w:tcW w:type="dxa" w:w="2621"/>
            <w:vAlign w:val="center"/>
            <w:tcMar>
              <w:top w:w="85" w:type="dxa"/>
              <w:bottom w:w="85" w:type="dxa"/>
              <w:left w:w="95" w:type="dxa"/>
              <w:right w:w="95" w:type="dxa"/>
            </w:tcMar>
            <w:shd w:fill="F3F5F6"/>
          </w:tcPr>
          <w:p>
            <w:pPr>
              <w:pStyle w:val="TableText"/>
              <w:keepNext w:val="0"/>
              <w:keepLines/>
            </w:pPr>
            <w:r>
              <w:rPr>
                <w:sz w:val="20"/>
              </w:rPr>
              <w:t>Titaniferous ore in deep intrusive rock</w:t>
            </w:r>
          </w:p>
        </w:tc>
        <w:tc>
          <w:tcPr>
            <w:tcW w:type="dxa" w:w="3226"/>
            <w:vAlign w:val="center"/>
            <w:tcMar>
              <w:top w:w="85" w:type="dxa"/>
              <w:bottom w:w="85" w:type="dxa"/>
              <w:left w:w="95" w:type="dxa"/>
              <w:right w:w="95" w:type="dxa"/>
            </w:tcMar>
            <w:shd w:fill="F3F5F6"/>
          </w:tcPr>
          <w:p>
            <w:pPr>
              <w:pStyle w:val="TableText"/>
              <w:keepNext w:val="0"/>
              <w:keepLines/>
            </w:pPr>
            <w:r>
              <w:rPr>
                <w:sz w:val="20"/>
              </w:rPr>
              <w:t>Advanced load-bearing frames and specialist tools</w:t>
            </w:r>
          </w:p>
        </w:tc>
        <w:tc>
          <w:tcPr>
            <w:tcW w:type="dxa" w:w="3226"/>
            <w:vAlign w:val="center"/>
            <w:tcMar>
              <w:top w:w="85" w:type="dxa"/>
              <w:bottom w:w="85" w:type="dxa"/>
              <w:left w:w="95" w:type="dxa"/>
              <w:right w:w="95" w:type="dxa"/>
            </w:tcMar>
            <w:shd w:fill="F3F5F6"/>
          </w:tcPr>
          <w:p>
            <w:pPr>
              <w:pStyle w:val="TableText"/>
              <w:keepNext w:val="0"/>
              <w:keepLines/>
            </w:pPr>
            <w:r>
              <w:rPr>
                <w:sz w:val="20"/>
              </w:rPr>
              <w:t>Dark granular stone with subdued metallic streaks; exposed in broad veins rather than tiny glowing dots.</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MAT05</w:t>
            </w:r>
          </w:p>
        </w:tc>
        <w:tc>
          <w:tcPr>
            <w:tcW w:type="dxa" w:w="2621"/>
            <w:vAlign w:val="center"/>
            <w:tcMar>
              <w:top w:w="85" w:type="dxa"/>
              <w:bottom w:w="85" w:type="dxa"/>
              <w:left w:w="95" w:type="dxa"/>
              <w:right w:w="95" w:type="dxa"/>
            </w:tcMar>
            <w:shd w:fill="FFFFFF"/>
          </w:tcPr>
          <w:p>
            <w:pPr>
              <w:pStyle w:val="TableText"/>
              <w:keepNext w:val="0"/>
              <w:keepLines/>
            </w:pPr>
            <w:r>
              <w:rPr>
                <w:sz w:val="20"/>
              </w:rPr>
              <w:t>Graphite in dry dark seams</w:t>
            </w:r>
          </w:p>
        </w:tc>
        <w:tc>
          <w:tcPr>
            <w:tcW w:type="dxa" w:w="3226"/>
            <w:vAlign w:val="center"/>
            <w:tcMar>
              <w:top w:w="85" w:type="dxa"/>
              <w:bottom w:w="85" w:type="dxa"/>
              <w:left w:w="95" w:type="dxa"/>
              <w:right w:w="95" w:type="dxa"/>
            </w:tcMar>
            <w:shd w:fill="FFFFFF"/>
          </w:tcPr>
          <w:p>
            <w:pPr>
              <w:pStyle w:val="TableText"/>
              <w:keepNext w:val="0"/>
              <w:keepLines/>
            </w:pPr>
            <w:r>
              <w:rPr>
                <w:sz w:val="20"/>
              </w:rPr>
              <w:t>Conductive components, lubricated machinery, advanced processing</w:t>
            </w:r>
          </w:p>
        </w:tc>
        <w:tc>
          <w:tcPr>
            <w:tcW w:type="dxa" w:w="3226"/>
            <w:vAlign w:val="center"/>
            <w:tcMar>
              <w:top w:w="85" w:type="dxa"/>
              <w:bottom w:w="85" w:type="dxa"/>
              <w:left w:w="95" w:type="dxa"/>
              <w:right w:w="95" w:type="dxa"/>
            </w:tcMar>
            <w:shd w:fill="FFFFFF"/>
          </w:tcPr>
          <w:p>
            <w:pPr>
              <w:pStyle w:val="TableText"/>
              <w:keepNext w:val="0"/>
              <w:keepLines/>
            </w:pPr>
            <w:r>
              <w:rPr>
                <w:sz w:val="20"/>
              </w:rPr>
              <w:t>Charcoal plates with a restrained sheen and visible layered fracture.</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MAT06</w:t>
            </w:r>
          </w:p>
        </w:tc>
        <w:tc>
          <w:tcPr>
            <w:tcW w:type="dxa" w:w="2621"/>
            <w:vAlign w:val="center"/>
            <w:tcMar>
              <w:top w:w="85" w:type="dxa"/>
              <w:bottom w:w="85" w:type="dxa"/>
              <w:left w:w="95" w:type="dxa"/>
              <w:right w:w="95" w:type="dxa"/>
            </w:tcMar>
            <w:shd w:fill="F3F5F6"/>
          </w:tcPr>
          <w:p>
            <w:pPr>
              <w:pStyle w:val="TableText"/>
              <w:keepNext w:val="0"/>
              <w:keepLines/>
            </w:pPr>
            <w:r>
              <w:rPr>
                <w:sz w:val="20"/>
              </w:rPr>
              <w:t>Clear quartz in ordinary and deeper crystal pockets</w:t>
            </w:r>
          </w:p>
        </w:tc>
        <w:tc>
          <w:tcPr>
            <w:tcW w:type="dxa" w:w="3226"/>
            <w:vAlign w:val="center"/>
            <w:tcMar>
              <w:top w:w="85" w:type="dxa"/>
              <w:bottom w:w="85" w:type="dxa"/>
              <w:left w:w="95" w:type="dxa"/>
              <w:right w:w="95" w:type="dxa"/>
            </w:tcMar>
            <w:shd w:fill="F3F5F6"/>
          </w:tcPr>
          <w:p>
            <w:pPr>
              <w:pStyle w:val="TableText"/>
              <w:keepNext w:val="0"/>
              <w:keepLines/>
            </w:pPr>
            <w:r>
              <w:rPr>
                <w:sz w:val="20"/>
              </w:rPr>
              <w:t>Optical instruments, early electronics, surveying</w:t>
            </w:r>
          </w:p>
        </w:tc>
        <w:tc>
          <w:tcPr>
            <w:tcW w:type="dxa" w:w="3226"/>
            <w:vAlign w:val="center"/>
            <w:tcMar>
              <w:top w:w="85" w:type="dxa"/>
              <w:bottom w:w="85" w:type="dxa"/>
              <w:left w:w="95" w:type="dxa"/>
              <w:right w:w="95" w:type="dxa"/>
            </w:tcMar>
            <w:shd w:fill="F3F5F6"/>
          </w:tcPr>
          <w:p>
            <w:pPr>
              <w:pStyle w:val="TableText"/>
              <w:keepNext w:val="0"/>
              <w:keepLines/>
            </w:pPr>
            <w:r>
              <w:rPr>
                <w:sz w:val="20"/>
              </w:rPr>
              <w:t>Transparent or milky block crystals; shape and clarity communicate quality.</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MAT07</w:t>
            </w:r>
          </w:p>
        </w:tc>
        <w:tc>
          <w:tcPr>
            <w:tcW w:type="dxa" w:w="2621"/>
            <w:vAlign w:val="center"/>
            <w:tcMar>
              <w:top w:w="85" w:type="dxa"/>
              <w:bottom w:w="85" w:type="dxa"/>
              <w:left w:w="95" w:type="dxa"/>
              <w:right w:w="95" w:type="dxa"/>
            </w:tcMar>
            <w:shd w:fill="FFFFFF"/>
          </w:tcPr>
          <w:p>
            <w:pPr>
              <w:pStyle w:val="TableText"/>
              <w:keepNext w:val="0"/>
              <w:keepLines/>
            </w:pPr>
            <w:r>
              <w:rPr>
                <w:sz w:val="20"/>
              </w:rPr>
              <w:t>Sulfur around selected dry vents and mineral basins</w:t>
            </w:r>
          </w:p>
        </w:tc>
        <w:tc>
          <w:tcPr>
            <w:tcW w:type="dxa" w:w="3226"/>
            <w:vAlign w:val="center"/>
            <w:tcMar>
              <w:top w:w="85" w:type="dxa"/>
              <w:bottom w:w="85" w:type="dxa"/>
              <w:left w:w="95" w:type="dxa"/>
              <w:right w:w="95" w:type="dxa"/>
            </w:tcMar>
            <w:shd w:fill="FFFFFF"/>
          </w:tcPr>
          <w:p>
            <w:pPr>
              <w:pStyle w:val="TableText"/>
              <w:keepNext w:val="0"/>
              <w:keepLines/>
            </w:pPr>
            <w:r>
              <w:rPr>
                <w:sz w:val="20"/>
              </w:rPr>
              <w:t>Processing reagents and specialist consumables</w:t>
            </w:r>
          </w:p>
        </w:tc>
        <w:tc>
          <w:tcPr>
            <w:tcW w:type="dxa" w:w="3226"/>
            <w:vAlign w:val="center"/>
            <w:tcMar>
              <w:top w:w="85" w:type="dxa"/>
              <w:bottom w:w="85" w:type="dxa"/>
              <w:left w:w="95" w:type="dxa"/>
              <w:right w:w="95" w:type="dxa"/>
            </w:tcMar>
            <w:shd w:fill="FFFFFF"/>
          </w:tcPr>
          <w:p>
            <w:pPr>
              <w:pStyle w:val="TableText"/>
              <w:keepNext w:val="0"/>
              <w:keepLines/>
            </w:pPr>
            <w:r>
              <w:rPr>
                <w:sz w:val="20"/>
              </w:rPr>
              <w:t>Powdery yellow crusts clustered near a clearly signaled environmental feature.</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MAT08</w:t>
            </w:r>
          </w:p>
        </w:tc>
        <w:tc>
          <w:tcPr>
            <w:tcW w:type="dxa" w:w="2621"/>
            <w:vAlign w:val="center"/>
            <w:tcMar>
              <w:top w:w="85" w:type="dxa"/>
              <w:bottom w:w="85" w:type="dxa"/>
              <w:left w:w="95" w:type="dxa"/>
              <w:right w:w="95" w:type="dxa"/>
            </w:tcMar>
            <w:shd w:fill="F3F5F6"/>
          </w:tcPr>
          <w:p>
            <w:pPr>
              <w:pStyle w:val="TableText"/>
              <w:keepNext w:val="0"/>
              <w:keepLines/>
            </w:pPr>
            <w:r>
              <w:rPr>
                <w:sz w:val="20"/>
              </w:rPr>
              <w:t>Rock salt in dry basins and evaporated passages</w:t>
            </w:r>
          </w:p>
        </w:tc>
        <w:tc>
          <w:tcPr>
            <w:tcW w:type="dxa" w:w="3226"/>
            <w:vAlign w:val="center"/>
            <w:tcMar>
              <w:top w:w="85" w:type="dxa"/>
              <w:bottom w:w="85" w:type="dxa"/>
              <w:left w:w="95" w:type="dxa"/>
              <w:right w:w="95" w:type="dxa"/>
            </w:tcMar>
            <w:shd w:fill="F3F5F6"/>
          </w:tcPr>
          <w:p>
            <w:pPr>
              <w:pStyle w:val="TableText"/>
              <w:keepNext w:val="0"/>
              <w:keepLines/>
            </w:pPr>
            <w:r>
              <w:rPr>
                <w:sz w:val="20"/>
              </w:rPr>
              <w:t>Preserved supplies, chemical processing, decorative blocks</w:t>
            </w:r>
          </w:p>
        </w:tc>
        <w:tc>
          <w:tcPr>
            <w:tcW w:type="dxa" w:w="3226"/>
            <w:vAlign w:val="center"/>
            <w:tcMar>
              <w:top w:w="85" w:type="dxa"/>
              <w:bottom w:w="85" w:type="dxa"/>
              <w:left w:w="95" w:type="dxa"/>
              <w:right w:w="95" w:type="dxa"/>
            </w:tcMar>
            <w:shd w:fill="F3F5F6"/>
          </w:tcPr>
          <w:p>
            <w:pPr>
              <w:pStyle w:val="TableText"/>
              <w:keepNext w:val="0"/>
              <w:keepLines/>
            </w:pPr>
            <w:r>
              <w:rPr>
                <w:sz w:val="20"/>
              </w:rPr>
              <w:t>Pale granular layers and cubic deposits, with variants kept visually related.</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MAT09</w:t>
            </w:r>
          </w:p>
        </w:tc>
        <w:tc>
          <w:tcPr>
            <w:tcW w:type="dxa" w:w="2621"/>
            <w:vAlign w:val="center"/>
            <w:tcMar>
              <w:top w:w="85" w:type="dxa"/>
              <w:bottom w:w="85" w:type="dxa"/>
              <w:left w:w="95" w:type="dxa"/>
              <w:right w:w="95" w:type="dxa"/>
            </w:tcMar>
            <w:shd w:fill="FFFFFF"/>
          </w:tcPr>
          <w:p>
            <w:pPr>
              <w:pStyle w:val="TableText"/>
              <w:keepNext w:val="0"/>
              <w:keepLines/>
            </w:pPr>
            <w:r>
              <w:rPr>
                <w:sz w:val="20"/>
              </w:rPr>
              <w:t>Ceramic clay in quiet water deposits and protected shelves</w:t>
            </w:r>
          </w:p>
        </w:tc>
        <w:tc>
          <w:tcPr>
            <w:tcW w:type="dxa" w:w="3226"/>
            <w:vAlign w:val="center"/>
            <w:tcMar>
              <w:top w:w="85" w:type="dxa"/>
              <w:bottom w:w="85" w:type="dxa"/>
              <w:left w:w="95" w:type="dxa"/>
              <w:right w:w="95" w:type="dxa"/>
            </w:tcMar>
            <w:shd w:fill="FFFFFF"/>
          </w:tcPr>
          <w:p>
            <w:pPr>
              <w:pStyle w:val="TableText"/>
              <w:keepNext w:val="0"/>
              <w:keepLines/>
            </w:pPr>
            <w:r>
              <w:rPr>
                <w:sz w:val="20"/>
              </w:rPr>
              <w:t>Kilns, insulating components, heat equipment, household blocks</w:t>
            </w:r>
          </w:p>
        </w:tc>
        <w:tc>
          <w:tcPr>
            <w:tcW w:type="dxa" w:w="3226"/>
            <w:vAlign w:val="center"/>
            <w:tcMar>
              <w:top w:w="85" w:type="dxa"/>
              <w:bottom w:w="85" w:type="dxa"/>
              <w:left w:w="95" w:type="dxa"/>
              <w:right w:w="95" w:type="dxa"/>
            </w:tcMar>
            <w:shd w:fill="FFFFFF"/>
          </w:tcPr>
          <w:p>
            <w:pPr>
              <w:pStyle w:val="TableText"/>
              <w:keepNext w:val="0"/>
              <w:keepLines/>
            </w:pPr>
            <w:r>
              <w:rPr>
                <w:sz w:val="20"/>
              </w:rPr>
              <w:t>Smooth warm gray or reddish banks with fine horizontal layering.</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MAT10</w:t>
            </w:r>
          </w:p>
        </w:tc>
        <w:tc>
          <w:tcPr>
            <w:tcW w:type="dxa" w:w="2621"/>
            <w:vAlign w:val="center"/>
            <w:tcMar>
              <w:top w:w="85" w:type="dxa"/>
              <w:bottom w:w="85" w:type="dxa"/>
              <w:left w:w="95" w:type="dxa"/>
              <w:right w:w="95" w:type="dxa"/>
            </w:tcMar>
            <w:shd w:fill="F3F5F6"/>
          </w:tcPr>
          <w:p>
            <w:pPr>
              <w:pStyle w:val="TableText"/>
              <w:keepNext w:val="0"/>
              <w:keepLines/>
            </w:pPr>
            <w:r>
              <w:rPr>
                <w:sz w:val="20"/>
              </w:rPr>
              <w:t>Root resin in mature Deepwilds growth</w:t>
            </w:r>
          </w:p>
        </w:tc>
        <w:tc>
          <w:tcPr>
            <w:tcW w:type="dxa" w:w="3226"/>
            <w:vAlign w:val="center"/>
            <w:tcMar>
              <w:top w:w="85" w:type="dxa"/>
              <w:bottom w:w="85" w:type="dxa"/>
              <w:left w:w="95" w:type="dxa"/>
              <w:right w:w="95" w:type="dxa"/>
            </w:tcMar>
            <w:shd w:fill="F3F5F6"/>
          </w:tcPr>
          <w:p>
            <w:pPr>
              <w:pStyle w:val="TableText"/>
              <w:keepNext w:val="0"/>
              <w:keepLines/>
            </w:pPr>
            <w:r>
              <w:rPr>
                <w:sz w:val="20"/>
              </w:rPr>
              <w:t>Seals, repairs, early waterproofing, flexible fittings</w:t>
            </w:r>
          </w:p>
        </w:tc>
        <w:tc>
          <w:tcPr>
            <w:tcW w:type="dxa" w:w="3226"/>
            <w:vAlign w:val="center"/>
            <w:tcMar>
              <w:top w:w="85" w:type="dxa"/>
              <w:bottom w:w="85" w:type="dxa"/>
              <w:left w:w="95" w:type="dxa"/>
              <w:right w:w="95" w:type="dxa"/>
            </w:tcMar>
            <w:shd w:fill="F3F5F6"/>
          </w:tcPr>
          <w:p>
            <w:pPr>
              <w:pStyle w:val="TableText"/>
              <w:keepNext w:val="0"/>
              <w:keepLines/>
            </w:pPr>
            <w:r>
              <w:rPr>
                <w:sz w:val="20"/>
              </w:rPr>
              <w:t>Translucent amber beads on living roots; harvesting marks a limited regrowth point.</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MAT11</w:t>
            </w:r>
          </w:p>
        </w:tc>
        <w:tc>
          <w:tcPr>
            <w:tcW w:type="dxa" w:w="2621"/>
            <w:vAlign w:val="center"/>
            <w:tcMar>
              <w:top w:w="85" w:type="dxa"/>
              <w:bottom w:w="85" w:type="dxa"/>
              <w:left w:w="95" w:type="dxa"/>
              <w:right w:w="95" w:type="dxa"/>
            </w:tcMar>
            <w:shd w:fill="FFFFFF"/>
          </w:tcPr>
          <w:p>
            <w:pPr>
              <w:pStyle w:val="TableText"/>
              <w:keepNext w:val="0"/>
              <w:keepLines/>
            </w:pPr>
            <w:r>
              <w:rPr>
                <w:sz w:val="20"/>
              </w:rPr>
              <w:t>Spore fiber in cultivated fungal mats</w:t>
            </w:r>
          </w:p>
        </w:tc>
        <w:tc>
          <w:tcPr>
            <w:tcW w:type="dxa" w:w="3226"/>
            <w:vAlign w:val="center"/>
            <w:tcMar>
              <w:top w:w="85" w:type="dxa"/>
              <w:bottom w:w="85" w:type="dxa"/>
              <w:left w:w="95" w:type="dxa"/>
              <w:right w:w="95" w:type="dxa"/>
            </w:tcMar>
            <w:shd w:fill="FFFFFF"/>
          </w:tcPr>
          <w:p>
            <w:pPr>
              <w:pStyle w:val="TableText"/>
              <w:keepNext w:val="0"/>
              <w:keepLines/>
            </w:pPr>
            <w:r>
              <w:rPr>
                <w:sz w:val="20"/>
              </w:rPr>
              <w:t>Filters, cloth, soft insulation, decorative textiles</w:t>
            </w:r>
          </w:p>
        </w:tc>
        <w:tc>
          <w:tcPr>
            <w:tcW w:type="dxa" w:w="3226"/>
            <w:vAlign w:val="center"/>
            <w:tcMar>
              <w:top w:w="85" w:type="dxa"/>
              <w:bottom w:w="85" w:type="dxa"/>
              <w:left w:w="95" w:type="dxa"/>
              <w:right w:w="95" w:type="dxa"/>
            </w:tcMar>
            <w:shd w:fill="FFFFFF"/>
          </w:tcPr>
          <w:p>
            <w:pPr>
              <w:pStyle w:val="TableText"/>
              <w:keepNext w:val="0"/>
              <w:keepLines/>
            </w:pPr>
            <w:r>
              <w:rPr>
                <w:sz w:val="20"/>
              </w:rPr>
              <w:t>Pale strands within a broad fungal substrate; never read as a metallic ore.</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MAT12</w:t>
            </w:r>
          </w:p>
        </w:tc>
        <w:tc>
          <w:tcPr>
            <w:tcW w:type="dxa" w:w="2621"/>
            <w:vAlign w:val="center"/>
            <w:tcMar>
              <w:top w:w="85" w:type="dxa"/>
              <w:bottom w:w="85" w:type="dxa"/>
              <w:left w:w="95" w:type="dxa"/>
              <w:right w:w="95" w:type="dxa"/>
            </w:tcMar>
            <w:shd w:fill="F3F5F6"/>
          </w:tcPr>
          <w:p>
            <w:pPr>
              <w:pStyle w:val="TableText"/>
              <w:keepNext w:val="0"/>
              <w:keepLines/>
            </w:pPr>
            <w:r>
              <w:rPr>
                <w:sz w:val="20"/>
              </w:rPr>
              <w:t>Shellstone in old aquatic deposits</w:t>
            </w:r>
          </w:p>
        </w:tc>
        <w:tc>
          <w:tcPr>
            <w:tcW w:type="dxa" w:w="3226"/>
            <w:vAlign w:val="center"/>
            <w:tcMar>
              <w:top w:w="85" w:type="dxa"/>
              <w:bottom w:w="85" w:type="dxa"/>
              <w:left w:w="95" w:type="dxa"/>
              <w:right w:w="95" w:type="dxa"/>
            </w:tcMar>
            <w:shd w:fill="F3F5F6"/>
          </w:tcPr>
          <w:p>
            <w:pPr>
              <w:pStyle w:val="TableText"/>
              <w:keepNext w:val="0"/>
              <w:keepLines/>
            </w:pPr>
            <w:r>
              <w:rPr>
                <w:sz w:val="20"/>
              </w:rPr>
              <w:t>Tough decorative masonry and certain composite products</w:t>
            </w:r>
          </w:p>
        </w:tc>
        <w:tc>
          <w:tcPr>
            <w:tcW w:type="dxa" w:w="3226"/>
            <w:vAlign w:val="center"/>
            <w:tcMar>
              <w:top w:w="85" w:type="dxa"/>
              <w:bottom w:w="85" w:type="dxa"/>
              <w:left w:w="95" w:type="dxa"/>
              <w:right w:w="95" w:type="dxa"/>
            </w:tcMar>
            <w:shd w:fill="F3F5F6"/>
          </w:tcPr>
          <w:p>
            <w:pPr>
              <w:pStyle w:val="TableText"/>
              <w:keepNext w:val="0"/>
              <w:keepLines/>
            </w:pPr>
            <w:r>
              <w:rPr>
                <w:sz w:val="20"/>
              </w:rPr>
              <w:t>Pale shells and curved fragments inside dense stone.</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MAT13</w:t>
            </w:r>
          </w:p>
        </w:tc>
        <w:tc>
          <w:tcPr>
            <w:tcW w:type="dxa" w:w="2621"/>
            <w:vAlign w:val="center"/>
            <w:tcMar>
              <w:top w:w="85" w:type="dxa"/>
              <w:bottom w:w="85" w:type="dxa"/>
              <w:left w:w="95" w:type="dxa"/>
              <w:right w:w="95" w:type="dxa"/>
            </w:tcMar>
            <w:shd w:fill="FFFFFF"/>
          </w:tcPr>
          <w:p>
            <w:pPr>
              <w:pStyle w:val="TableText"/>
              <w:keepNext w:val="0"/>
              <w:keepLines/>
            </w:pPr>
            <w:r>
              <w:rPr>
                <w:sz w:val="20"/>
              </w:rPr>
              <w:t>Lens crystal in clear-water or dry crystalline pockets</w:t>
            </w:r>
          </w:p>
        </w:tc>
        <w:tc>
          <w:tcPr>
            <w:tcW w:type="dxa" w:w="3226"/>
            <w:vAlign w:val="center"/>
            <w:tcMar>
              <w:top w:w="85" w:type="dxa"/>
              <w:bottom w:w="85" w:type="dxa"/>
              <w:left w:w="95" w:type="dxa"/>
              <w:right w:w="95" w:type="dxa"/>
            </w:tcMar>
            <w:shd w:fill="FFFFFF"/>
          </w:tcPr>
          <w:p>
            <w:pPr>
              <w:pStyle w:val="TableText"/>
              <w:keepNext w:val="0"/>
              <w:keepLines/>
            </w:pPr>
            <w:r>
              <w:rPr>
                <w:sz w:val="20"/>
              </w:rPr>
              <w:t>Improved instruments and precision surveying</w:t>
            </w:r>
          </w:p>
        </w:tc>
        <w:tc>
          <w:tcPr>
            <w:tcW w:type="dxa" w:w="3226"/>
            <w:vAlign w:val="center"/>
            <w:tcMar>
              <w:top w:w="85" w:type="dxa"/>
              <w:bottom w:w="85" w:type="dxa"/>
              <w:left w:w="95" w:type="dxa"/>
              <w:right w:w="95" w:type="dxa"/>
            </w:tcMar>
            <w:shd w:fill="FFFFFF"/>
          </w:tcPr>
          <w:p>
            <w:pPr>
              <w:pStyle w:val="TableText"/>
              <w:keepNext w:val="0"/>
              <w:keepLines/>
            </w:pPr>
            <w:r>
              <w:rPr>
                <w:sz w:val="20"/>
              </w:rPr>
              <w:t>A compact clear center with a distinctive faceted surrounding growth.</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MAT14</w:t>
            </w:r>
          </w:p>
        </w:tc>
        <w:tc>
          <w:tcPr>
            <w:tcW w:type="dxa" w:w="2621"/>
            <w:vAlign w:val="center"/>
            <w:tcMar>
              <w:top w:w="85" w:type="dxa"/>
              <w:bottom w:w="85" w:type="dxa"/>
              <w:left w:w="95" w:type="dxa"/>
              <w:right w:w="95" w:type="dxa"/>
            </w:tcMar>
            <w:shd w:fill="F3F5F6"/>
          </w:tcPr>
          <w:p>
            <w:pPr>
              <w:pStyle w:val="TableText"/>
              <w:keepNext w:val="0"/>
              <w:keepLines/>
            </w:pPr>
            <w:r>
              <w:rPr>
                <w:sz w:val="20"/>
              </w:rPr>
              <w:t>Resonant quartz in restricted deep formations</w:t>
            </w:r>
          </w:p>
        </w:tc>
        <w:tc>
          <w:tcPr>
            <w:tcW w:type="dxa" w:w="3226"/>
            <w:vAlign w:val="center"/>
            <w:tcMar>
              <w:top w:w="85" w:type="dxa"/>
              <w:bottom w:w="85" w:type="dxa"/>
              <w:left w:w="95" w:type="dxa"/>
              <w:right w:w="95" w:type="dxa"/>
            </w:tcMar>
            <w:shd w:fill="F3F5F6"/>
          </w:tcPr>
          <w:p>
            <w:pPr>
              <w:pStyle w:val="TableText"/>
              <w:keepNext w:val="0"/>
              <w:keepLines/>
            </w:pPr>
            <w:r>
              <w:rPr>
                <w:sz w:val="20"/>
              </w:rPr>
              <w:t>Reading ancient devices and locating specific buried features</w:t>
            </w:r>
          </w:p>
        </w:tc>
        <w:tc>
          <w:tcPr>
            <w:tcW w:type="dxa" w:w="3226"/>
            <w:vAlign w:val="center"/>
            <w:tcMar>
              <w:top w:w="85" w:type="dxa"/>
              <w:bottom w:w="85" w:type="dxa"/>
              <w:left w:w="95" w:type="dxa"/>
              <w:right w:w="95" w:type="dxa"/>
            </w:tcMar>
            <w:shd w:fill="F3F5F6"/>
          </w:tcPr>
          <w:p>
            <w:pPr>
              <w:pStyle w:val="TableText"/>
              <w:keepNext w:val="0"/>
              <w:keepLines/>
            </w:pPr>
            <w:r>
              <w:rPr>
                <w:sz w:val="20"/>
              </w:rPr>
              <w:t>Pale outer growth around a smoky core with quiet internal lines; interaction gives a readable pulse.</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MAT15</w:t>
            </w:r>
          </w:p>
        </w:tc>
        <w:tc>
          <w:tcPr>
            <w:tcW w:type="dxa" w:w="2621"/>
            <w:vAlign w:val="center"/>
            <w:tcMar>
              <w:top w:w="85" w:type="dxa"/>
              <w:bottom w:w="85" w:type="dxa"/>
              <w:left w:w="95" w:type="dxa"/>
              <w:right w:w="95" w:type="dxa"/>
            </w:tcMar>
            <w:shd w:fill="FFFFFF"/>
          </w:tcPr>
          <w:p>
            <w:pPr>
              <w:pStyle w:val="TableText"/>
              <w:keepNext w:val="0"/>
              <w:keepLines/>
            </w:pPr>
            <w:r>
              <w:rPr>
                <w:sz w:val="20"/>
              </w:rPr>
              <w:t>Heartglass in rare Core formations</w:t>
            </w:r>
          </w:p>
        </w:tc>
        <w:tc>
          <w:tcPr>
            <w:tcW w:type="dxa" w:w="3226"/>
            <w:vAlign w:val="center"/>
            <w:tcMar>
              <w:top w:w="85" w:type="dxa"/>
              <w:bottom w:w="85" w:type="dxa"/>
              <w:left w:w="95" w:type="dxa"/>
              <w:right w:w="95" w:type="dxa"/>
            </w:tcMar>
            <w:shd w:fill="FFFFFF"/>
          </w:tcPr>
          <w:p>
            <w:pPr>
              <w:pStyle w:val="TableText"/>
              <w:keepNext w:val="0"/>
              <w:keepLines/>
            </w:pPr>
            <w:r>
              <w:rPr>
                <w:sz w:val="20"/>
              </w:rPr>
              <w:t>Specialized optical and thermal components for advanced exploration</w:t>
            </w:r>
          </w:p>
        </w:tc>
        <w:tc>
          <w:tcPr>
            <w:tcW w:type="dxa" w:w="3226"/>
            <w:vAlign w:val="center"/>
            <w:tcMar>
              <w:top w:w="85" w:type="dxa"/>
              <w:bottom w:w="85" w:type="dxa"/>
              <w:left w:w="95" w:type="dxa"/>
              <w:right w:w="95" w:type="dxa"/>
            </w:tcMar>
            <w:shd w:fill="FFFFFF"/>
          </w:tcPr>
          <w:p>
            <w:pPr>
              <w:pStyle w:val="TableText"/>
              <w:keepNext w:val="0"/>
              <w:keepLines/>
            </w:pPr>
            <w:r>
              <w:rPr>
                <w:sz w:val="20"/>
              </w:rPr>
              <w:t>Dark glass in thick formations, translucent at thin edges, with warm internal planes; carried as solid fragments.</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MAT16</w:t>
            </w:r>
          </w:p>
        </w:tc>
        <w:tc>
          <w:tcPr>
            <w:tcW w:type="dxa" w:w="2621"/>
            <w:vAlign w:val="center"/>
            <w:tcMar>
              <w:top w:w="85" w:type="dxa"/>
              <w:bottom w:w="85" w:type="dxa"/>
              <w:left w:w="95" w:type="dxa"/>
              <w:right w:w="95" w:type="dxa"/>
            </w:tcMar>
            <w:shd w:fill="F3F5F6"/>
          </w:tcPr>
          <w:p>
            <w:pPr>
              <w:pStyle w:val="TableText"/>
              <w:keepNext w:val="0"/>
              <w:keepLines/>
            </w:pPr>
            <w:r>
              <w:rPr>
                <w:sz w:val="20"/>
              </w:rPr>
              <w:t>Thermal salt in selected Mantle margins</w:t>
            </w:r>
          </w:p>
        </w:tc>
        <w:tc>
          <w:tcPr>
            <w:tcW w:type="dxa" w:w="3226"/>
            <w:vAlign w:val="center"/>
            <w:tcMar>
              <w:top w:w="85" w:type="dxa"/>
              <w:bottom w:w="85" w:type="dxa"/>
              <w:left w:w="95" w:type="dxa"/>
              <w:right w:w="95" w:type="dxa"/>
            </w:tcMar>
            <w:shd w:fill="F3F5F6"/>
          </w:tcPr>
          <w:p>
            <w:pPr>
              <w:pStyle w:val="TableText"/>
              <w:keepNext w:val="0"/>
              <w:keepLines/>
            </w:pPr>
            <w:r>
              <w:rPr>
                <w:sz w:val="20"/>
              </w:rPr>
              <w:t>Compact heat-storage products and advanced thermal preparation</w:t>
            </w:r>
          </w:p>
        </w:tc>
        <w:tc>
          <w:tcPr>
            <w:tcW w:type="dxa" w:w="3226"/>
            <w:vAlign w:val="center"/>
            <w:tcMar>
              <w:top w:w="85" w:type="dxa"/>
              <w:bottom w:w="85" w:type="dxa"/>
              <w:left w:w="95" w:type="dxa"/>
              <w:right w:w="95" w:type="dxa"/>
            </w:tcMar>
            <w:shd w:fill="F3F5F6"/>
          </w:tcPr>
          <w:p>
            <w:pPr>
              <w:pStyle w:val="TableText"/>
              <w:keepNext w:val="0"/>
              <w:keepLines/>
            </w:pPr>
            <w:r>
              <w:rPr>
                <w:sz w:val="20"/>
              </w:rPr>
              <w:t>Rust-white clustered crystals beside mineral crusts; low flicker only when charged in a device.</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MAT17</w:t>
            </w:r>
          </w:p>
        </w:tc>
        <w:tc>
          <w:tcPr>
            <w:tcW w:type="dxa" w:w="2621"/>
            <w:vAlign w:val="center"/>
            <w:tcMar>
              <w:top w:w="85" w:type="dxa"/>
              <w:bottom w:w="85" w:type="dxa"/>
              <w:left w:w="95" w:type="dxa"/>
              <w:right w:w="95" w:type="dxa"/>
            </w:tcMar>
            <w:shd w:fill="FFFFFF"/>
          </w:tcPr>
          <w:p>
            <w:pPr>
              <w:pStyle w:val="TableText"/>
              <w:keepNext w:val="0"/>
              <w:keepLines/>
            </w:pPr>
            <w:r>
              <w:rPr>
                <w:sz w:val="20"/>
              </w:rPr>
              <w:t>Mycelial loam in healthy underground ecosystems</w:t>
            </w:r>
          </w:p>
        </w:tc>
        <w:tc>
          <w:tcPr>
            <w:tcW w:type="dxa" w:w="3226"/>
            <w:vAlign w:val="center"/>
            <w:tcMar>
              <w:top w:w="85" w:type="dxa"/>
              <w:bottom w:w="85" w:type="dxa"/>
              <w:left w:w="95" w:type="dxa"/>
              <w:right w:w="95" w:type="dxa"/>
            </w:tcMar>
            <w:shd w:fill="FFFFFF"/>
          </w:tcPr>
          <w:p>
            <w:pPr>
              <w:pStyle w:val="TableText"/>
              <w:keepNext w:val="0"/>
              <w:keepLines/>
            </w:pPr>
            <w:r>
              <w:rPr>
                <w:sz w:val="20"/>
              </w:rPr>
              <w:t>Cultivation, soil improvement, restoring damaged plots</w:t>
            </w:r>
          </w:p>
        </w:tc>
        <w:tc>
          <w:tcPr>
            <w:tcW w:type="dxa" w:w="3226"/>
            <w:vAlign w:val="center"/>
            <w:tcMar>
              <w:top w:w="85" w:type="dxa"/>
              <w:bottom w:w="85" w:type="dxa"/>
              <w:left w:w="95" w:type="dxa"/>
              <w:right w:w="95" w:type="dxa"/>
            </w:tcMar>
            <w:shd w:fill="FFFFFF"/>
          </w:tcPr>
          <w:p>
            <w:pPr>
              <w:pStyle w:val="TableText"/>
              <w:keepNext w:val="0"/>
              <w:keepLines/>
            </w:pPr>
            <w:r>
              <w:rPr>
                <w:sz w:val="20"/>
              </w:rPr>
              <w:t>Dark organic soil with a restrained pale root network.</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MAT18</w:t>
            </w:r>
          </w:p>
        </w:tc>
        <w:tc>
          <w:tcPr>
            <w:tcW w:type="dxa" w:w="2621"/>
            <w:vAlign w:val="center"/>
            <w:tcMar>
              <w:top w:w="85" w:type="dxa"/>
              <w:bottom w:w="85" w:type="dxa"/>
              <w:left w:w="95" w:type="dxa"/>
              <w:right w:w="95" w:type="dxa"/>
            </w:tcMar>
            <w:shd w:fill="F3F5F6"/>
          </w:tcPr>
          <w:p>
            <w:pPr>
              <w:pStyle w:val="TableText"/>
              <w:keepNext w:val="0"/>
              <w:keepLines/>
            </w:pPr>
            <w:r>
              <w:rPr>
                <w:sz w:val="20"/>
              </w:rPr>
              <w:t>Ironbark fiber in established underground woody growth</w:t>
            </w:r>
          </w:p>
        </w:tc>
        <w:tc>
          <w:tcPr>
            <w:tcW w:type="dxa" w:w="3226"/>
            <w:vAlign w:val="center"/>
            <w:tcMar>
              <w:top w:w="85" w:type="dxa"/>
              <w:bottom w:w="85" w:type="dxa"/>
              <w:left w:w="95" w:type="dxa"/>
              <w:right w:w="95" w:type="dxa"/>
            </w:tcMar>
            <w:shd w:fill="F3F5F6"/>
          </w:tcPr>
          <w:p>
            <w:pPr>
              <w:pStyle w:val="TableText"/>
              <w:keepNext w:val="0"/>
              <w:keepLines/>
            </w:pPr>
            <w:r>
              <w:rPr>
                <w:sz w:val="20"/>
              </w:rPr>
              <w:t>Tough ropes, composite panels, strong textiles</w:t>
            </w:r>
          </w:p>
        </w:tc>
        <w:tc>
          <w:tcPr>
            <w:tcW w:type="dxa" w:w="3226"/>
            <w:vAlign w:val="center"/>
            <w:tcMar>
              <w:top w:w="85" w:type="dxa"/>
              <w:bottom w:w="85" w:type="dxa"/>
              <w:left w:w="95" w:type="dxa"/>
              <w:right w:w="95" w:type="dxa"/>
            </w:tcMar>
            <w:shd w:fill="F3F5F6"/>
          </w:tcPr>
          <w:p>
            <w:pPr>
              <w:pStyle w:val="TableText"/>
              <w:keepNext w:val="0"/>
              <w:keepLines/>
            </w:pPr>
            <w:r>
              <w:rPr>
                <w:sz w:val="20"/>
              </w:rPr>
              <w:t>Deep brown strips with a long fibrous grain and a clear living source.</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MAT19</w:t>
            </w:r>
          </w:p>
        </w:tc>
        <w:tc>
          <w:tcPr>
            <w:tcW w:type="dxa" w:w="2621"/>
            <w:vAlign w:val="center"/>
            <w:tcMar>
              <w:top w:w="85" w:type="dxa"/>
              <w:bottom w:w="85" w:type="dxa"/>
              <w:left w:w="95" w:type="dxa"/>
              <w:right w:w="95" w:type="dxa"/>
            </w:tcMar>
            <w:shd w:fill="FFFFFF"/>
          </w:tcPr>
          <w:p>
            <w:pPr>
              <w:pStyle w:val="TableText"/>
              <w:keepNext w:val="0"/>
              <w:keepLines/>
            </w:pPr>
            <w:r>
              <w:rPr>
                <w:sz w:val="20"/>
              </w:rPr>
              <w:t>Biolume culture from identified underground organisms</w:t>
            </w:r>
          </w:p>
        </w:tc>
        <w:tc>
          <w:tcPr>
            <w:tcW w:type="dxa" w:w="3226"/>
            <w:vAlign w:val="center"/>
            <w:tcMar>
              <w:top w:w="85" w:type="dxa"/>
              <w:bottom w:w="85" w:type="dxa"/>
              <w:left w:w="95" w:type="dxa"/>
              <w:right w:w="95" w:type="dxa"/>
            </w:tcMar>
            <w:shd w:fill="FFFFFF"/>
          </w:tcPr>
          <w:p>
            <w:pPr>
              <w:pStyle w:val="TableText"/>
              <w:keepNext w:val="0"/>
              <w:keepLines/>
            </w:pPr>
            <w:r>
              <w:rPr>
                <w:sz w:val="20"/>
              </w:rPr>
              <w:t>Cultivated lamps, route markers, low-intensity living displays</w:t>
            </w:r>
          </w:p>
        </w:tc>
        <w:tc>
          <w:tcPr>
            <w:tcW w:type="dxa" w:w="3226"/>
            <w:vAlign w:val="center"/>
            <w:tcMar>
              <w:top w:w="85" w:type="dxa"/>
              <w:bottom w:w="85" w:type="dxa"/>
              <w:left w:w="95" w:type="dxa"/>
              <w:right w:w="95" w:type="dxa"/>
            </w:tcMar>
            <w:shd w:fill="FFFFFF"/>
          </w:tcPr>
          <w:p>
            <w:pPr>
              <w:pStyle w:val="TableText"/>
              <w:keepNext w:val="0"/>
              <w:keepLines/>
            </w:pPr>
            <w:r>
              <w:rPr>
                <w:sz w:val="20"/>
              </w:rPr>
              <w:t>A small protected colony in a jar or growth block, with controlled cool light.</w:t>
            </w:r>
          </w:p>
        </w:tc>
      </w:tr>
    </w:tbl>
    <w:p>
      <w:pPr>
        <w:spacing w:after="0" w:before="0" w:line="60" w:lineRule="exact"/>
      </w:pPr>
      <w:r>
        <w:rPr>
          <w:sz w:val="6"/>
        </w:rPr>
      </w:r>
    </w:p>
    <w:p>
      <w:pPr/>
      <w:r>
        <w:t>The catalogue does not require nineteen separate mining tiers. Several materials appear together, and their uses diverge. Clay, resin, and fiber can improve an expedition without replacing the player's pickaxe. Dense metallic ores support a narrower chain of stronger machinery. Crystal resources primarily expand knowledge and specialized equipment.</w:t>
      </w:r>
    </w:p>
    <w:p>
      <w:pPr>
        <w:pStyle w:val="Heading2"/>
      </w:pPr>
      <w:r>
        <w:t>Deposit design and the act of finding ore</w:t>
      </w:r>
    </w:p>
    <w:p>
      <w:pPr/>
      <w:r>
        <w:t>Deposits should tell the player something before they mine them. A seam can follow a fracture, sit between two rock types, cluster around a dried basin, or appear in boulders transported by water. A small surface exposure can imply a larger body inside the rock. The exact distribution remains a generation task, but the creative rule is that exploration and observation should improve a player's chance of finding what they need.</w:t>
      </w:r>
    </w:p>
    <w:p>
      <w:pPr/>
      <w:r>
        <w:t>Common materials need accessible examples. Early iron and copper should not disappear because the new world has more vertical room. New ores should be added with awareness of the familiar progression. If a player's first useful ore lies far below a difficult expedition route, the opening has failed to support ordinary survival.</w:t>
      </w:r>
    </w:p>
    <w:p>
      <w:pPr/>
      <w:r>
        <w:t>Large deposits create a second kind of reward: a reason to build infrastructure. A rich nickel body might justify a cart route, safe working floor, and storage depot. Such deposits should be uncommon enough to matter while having more than one discoverable example. A specialist survey tool can guide the search within a region without revealing every exact ore block through walls.</w:t>
      </w:r>
    </w:p>
    <w:p>
      <w:pPr/>
      <w:r>
        <w:t>Ore extraction should distinguish excavation from mass destruction. Hand tools allow careful mining. Later drills can work a limited, previewed volume and stop at protected structures, unexpected fluids, or player-defined exclusions. A large machine should have visible limits and a useful reason to install it. It should not erase the world's most memorable features by default.</w:t>
      </w:r>
    </w:p>
    <w:p>
      <w:pPr/>
      <w:r>
        <w:t>Decorative samples remain valuable after the functional demand is satisfied. Polished stone, natural ore display blocks, crystal clusters, and geological specimens can be used in homes, museums, schools, or observatories. The interface should make it easy to preserve a specimen intentionally rather than accidentally consume the only interesting sample in a bulk recipe.</w:t>
      </w:r>
    </w:p>
    <w:p>
      <w:pPr>
        <w:pStyle w:val="Heading2"/>
      </w:pPr>
      <w:r>
        <w:t>Biological gathering and cultivation</w:t>
      </w:r>
    </w:p>
    <w:p>
      <w:pPr/>
      <w:r>
        <w:t>Biological resources create a different relationship to place. A resin tree or a luminous colony should be recognizable as a living source that can be revisited. A careful first harvest yields useful material and knowledge about cultivation. Excessive collection can temporarily reduce yield inside a bounded local system, but it should not make a main progression resource permanently unavailable.</w:t>
      </w:r>
    </w:p>
    <w:p>
      <w:pPr/>
      <w:r>
        <w:t>Cultivation begins with an observed condition. The player learns that a species prefers damp stone, shaded soil, moving water, or a particular substrate. Later, an appropriate cultivation bed can reproduce those conditions at a base. Each species should ask for one or two meaningful conditions rather than a long hidden chemistry simulation.</w:t>
      </w:r>
    </w:p>
    <w:p>
      <w:pPr/>
      <w:r>
        <w:t>The first usable fibers and resin are obtainable from safe habitat fringes, ordinary cultivation, or a surface substitute, before a filter is needed. Cultivated sources provide renewable supplies for ordinary filters, resin seals, food, cloth, and living light. Rare natural specimens can retain unique decorative forms or unlock research, but repeated expedition consumables should become practical to produce. This gives settlements a reason to maintain gardens and gives early ecosystems continued relevance after mining advances.</w:t>
      </w:r>
    </w:p>
    <w:p>
      <w:pPr/>
      <w:r>
        <w:t>Planetary ecology follows the same principle when life is part of the proposed fiction. Samples are carried in suitable containers, examined, and cultivated only where their requirements can be met. The design should avoid accidental unlimited spread from one placed block. A protected greenhouse or managed habitat provides a clear boundary for unfamiliar life.</w:t>
      </w:r>
    </w:p>
    <w:p>
      <w:pPr>
        <w:pStyle w:val="Heading2"/>
      </w:pPr>
      <w:r>
        <w:t>Processed products and the workshop sequence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98"/>
        <w:gridCol w:w="3298"/>
        <w:gridCol w:w="4197"/>
      </w:tblGrid>
      <w:tr>
        <w:trPr>
          <w:cantSplit/>
          <w:tblHeader w:val="true"/>
        </w:trPr>
        <w:tc>
          <w:tcPr>
            <w:tcW w:type="dxa" w:w="2498"/>
            <w:vAlign w:val="center"/>
            <w:tcMar>
              <w:top w:w="85" w:type="dxa"/>
              <w:bottom w:w="85" w:type="dxa"/>
              <w:left w:w="95" w:type="dxa"/>
              <w:right w:w="95" w:type="dxa"/>
            </w:tcMar>
            <w:shd w:fill="233544"/>
          </w:tcPr>
          <w:p>
            <w:pPr>
              <w:pStyle w:val="TableText"/>
              <w:keepNext w:val="0"/>
              <w:keepLines/>
              <w:jc w:val="center"/>
            </w:pPr>
            <w:r>
              <w:rPr>
                <w:b/>
                <w:color w:val="FFFFFF"/>
                <w:sz w:val="20"/>
              </w:rPr>
              <w:t>Product family</w:t>
            </w:r>
          </w:p>
        </w:tc>
        <w:tc>
          <w:tcPr>
            <w:tcW w:type="dxa" w:w="3298"/>
            <w:vAlign w:val="center"/>
            <w:tcMar>
              <w:top w:w="85" w:type="dxa"/>
              <w:bottom w:w="85" w:type="dxa"/>
              <w:left w:w="95" w:type="dxa"/>
              <w:right w:w="95" w:type="dxa"/>
            </w:tcMar>
            <w:shd w:fill="233544"/>
          </w:tcPr>
          <w:p>
            <w:pPr>
              <w:pStyle w:val="TableText"/>
              <w:keepNext w:val="0"/>
              <w:keepLines/>
            </w:pPr>
            <w:r>
              <w:rPr>
                <w:b/>
                <w:color w:val="FFFFFF"/>
                <w:sz w:val="20"/>
              </w:rPr>
              <w:t>Inputs and process direction</w:t>
            </w:r>
          </w:p>
        </w:tc>
        <w:tc>
          <w:tcPr>
            <w:tcW w:type="dxa" w:w="4197"/>
            <w:vAlign w:val="center"/>
            <w:tcMar>
              <w:top w:w="85" w:type="dxa"/>
              <w:bottom w:w="85" w:type="dxa"/>
              <w:left w:w="95" w:type="dxa"/>
              <w:right w:w="95" w:type="dxa"/>
            </w:tcMar>
            <w:shd w:fill="233544"/>
          </w:tcPr>
          <w:p>
            <w:pPr>
              <w:pStyle w:val="TableText"/>
              <w:keepNext w:val="0"/>
              <w:keepLines/>
            </w:pPr>
            <w:r>
              <w:rPr>
                <w:b/>
                <w:color w:val="FFFFFF"/>
                <w:sz w:val="20"/>
              </w:rPr>
              <w:t>What the player gains</w:t>
            </w:r>
          </w:p>
        </w:tc>
      </w:tr>
      <w:tr>
        <w:trPr>
          <w:cantSplit/>
        </w:trPr>
        <w:tc>
          <w:tcPr>
            <w:tcW w:type="dxa" w:w="2498"/>
            <w:vAlign w:val="center"/>
            <w:tcMar>
              <w:top w:w="85" w:type="dxa"/>
              <w:bottom w:w="85" w:type="dxa"/>
              <w:left w:w="95" w:type="dxa"/>
              <w:right w:w="95" w:type="dxa"/>
            </w:tcMar>
            <w:shd w:fill="FFFFFF"/>
          </w:tcPr>
          <w:p>
            <w:pPr>
              <w:pStyle w:val="TableText"/>
              <w:keepNext w:val="0"/>
              <w:keepLines/>
              <w:jc w:val="center"/>
            </w:pPr>
            <w:r>
              <w:rPr>
                <w:sz w:val="20"/>
              </w:rPr>
              <w:t>Bronze fittings</w:t>
            </w:r>
          </w:p>
        </w:tc>
        <w:tc>
          <w:tcPr>
            <w:tcW w:type="dxa" w:w="3298"/>
            <w:vAlign w:val="center"/>
            <w:tcMar>
              <w:top w:w="85" w:type="dxa"/>
              <w:bottom w:w="85" w:type="dxa"/>
              <w:left w:w="95" w:type="dxa"/>
              <w:right w:w="95" w:type="dxa"/>
            </w:tcMar>
            <w:shd w:fill="FFFFFF"/>
          </w:tcPr>
          <w:p>
            <w:pPr>
              <w:pStyle w:val="TableText"/>
              <w:keepNext w:val="0"/>
              <w:keepLines/>
            </w:pPr>
            <w:r>
              <w:rPr>
                <w:sz w:val="20"/>
              </w:rPr>
              <w:t>Copper and tin at an approachable early furnace</w:t>
            </w:r>
          </w:p>
        </w:tc>
        <w:tc>
          <w:tcPr>
            <w:tcW w:type="dxa" w:w="4197"/>
            <w:vAlign w:val="center"/>
            <w:tcMar>
              <w:top w:w="85" w:type="dxa"/>
              <w:bottom w:w="85" w:type="dxa"/>
              <w:left w:w="95" w:type="dxa"/>
              <w:right w:w="95" w:type="dxa"/>
            </w:tcMar>
            <w:shd w:fill="FFFFFF"/>
          </w:tcPr>
          <w:p>
            <w:pPr>
              <w:pStyle w:val="TableText"/>
              <w:keepNext w:val="0"/>
              <w:keepLines/>
            </w:pPr>
            <w:r>
              <w:rPr>
                <w:sz w:val="20"/>
              </w:rPr>
              <w:t>Repairable pumps, valves, simple tools, and workshop fixtures.</w:t>
            </w:r>
          </w:p>
        </w:tc>
      </w:tr>
      <w:tr>
        <w:trPr>
          <w:cantSplit/>
        </w:trPr>
        <w:tc>
          <w:tcPr>
            <w:tcW w:type="dxa" w:w="2498"/>
            <w:vAlign w:val="center"/>
            <w:tcMar>
              <w:top w:w="85" w:type="dxa"/>
              <w:bottom w:w="85" w:type="dxa"/>
              <w:left w:w="95" w:type="dxa"/>
              <w:right w:w="95" w:type="dxa"/>
            </w:tcMar>
            <w:shd w:fill="F3F5F6"/>
          </w:tcPr>
          <w:p>
            <w:pPr>
              <w:pStyle w:val="TableText"/>
              <w:keepNext w:val="0"/>
              <w:keepLines/>
            </w:pPr>
            <w:r>
              <w:rPr>
                <w:sz w:val="20"/>
              </w:rPr>
              <w:t>Structural steel</w:t>
            </w:r>
          </w:p>
        </w:tc>
        <w:tc>
          <w:tcPr>
            <w:tcW w:type="dxa" w:w="3298"/>
            <w:vAlign w:val="center"/>
            <w:tcMar>
              <w:top w:w="85" w:type="dxa"/>
              <w:bottom w:w="85" w:type="dxa"/>
              <w:left w:w="95" w:type="dxa"/>
              <w:right w:w="95" w:type="dxa"/>
            </w:tcMar>
            <w:shd w:fill="F3F5F6"/>
          </w:tcPr>
          <w:p>
            <w:pPr>
              <w:pStyle w:val="TableText"/>
              <w:keepNext w:val="0"/>
              <w:keepLines/>
            </w:pPr>
            <w:r>
              <w:rPr>
                <w:sz w:val="20"/>
              </w:rPr>
              <w:t>Iron, carbon supplies, and a controlled furnace process</w:t>
            </w:r>
          </w:p>
        </w:tc>
        <w:tc>
          <w:tcPr>
            <w:tcW w:type="dxa" w:w="4197"/>
            <w:vAlign w:val="center"/>
            <w:tcMar>
              <w:top w:w="85" w:type="dxa"/>
              <w:bottom w:w="85" w:type="dxa"/>
              <w:left w:w="95" w:type="dxa"/>
              <w:right w:w="95" w:type="dxa"/>
            </w:tcMar>
            <w:shd w:fill="F3F5F6"/>
          </w:tcPr>
          <w:p>
            <w:pPr>
              <w:pStyle w:val="TableText"/>
              <w:keepNext w:val="0"/>
              <w:keepLines/>
            </w:pPr>
            <w:r>
              <w:rPr>
                <w:sz w:val="20"/>
              </w:rPr>
              <w:t>Reliable frames, lifts, larger projects, and better expedition equipment.</w:t>
            </w:r>
          </w:p>
        </w:tc>
      </w:tr>
      <w:tr>
        <w:trPr>
          <w:cantSplit/>
        </w:trPr>
        <w:tc>
          <w:tcPr>
            <w:tcW w:type="dxa" w:w="2498"/>
            <w:vAlign w:val="center"/>
            <w:tcMar>
              <w:top w:w="85" w:type="dxa"/>
              <w:bottom w:w="85" w:type="dxa"/>
              <w:left w:w="95" w:type="dxa"/>
              <w:right w:w="95" w:type="dxa"/>
            </w:tcMar>
            <w:shd w:fill="FFFFFF"/>
          </w:tcPr>
          <w:p>
            <w:pPr>
              <w:pStyle w:val="TableText"/>
              <w:keepNext w:val="0"/>
              <w:keepLines/>
              <w:jc w:val="center"/>
            </w:pPr>
            <w:r>
              <w:rPr>
                <w:sz w:val="20"/>
              </w:rPr>
              <w:t>Sealed cloth</w:t>
            </w:r>
          </w:p>
        </w:tc>
        <w:tc>
          <w:tcPr>
            <w:tcW w:type="dxa" w:w="3298"/>
            <w:vAlign w:val="center"/>
            <w:tcMar>
              <w:top w:w="85" w:type="dxa"/>
              <w:bottom w:w="85" w:type="dxa"/>
              <w:left w:w="95" w:type="dxa"/>
              <w:right w:w="95" w:type="dxa"/>
            </w:tcMar>
            <w:shd w:fill="FFFFFF"/>
          </w:tcPr>
          <w:p>
            <w:pPr>
              <w:pStyle w:val="TableText"/>
              <w:keepNext w:val="0"/>
              <w:keepLines/>
            </w:pPr>
            <w:r>
              <w:rPr>
                <w:sz w:val="20"/>
              </w:rPr>
              <w:t>Fiber, resin, and a textile workstation</w:t>
            </w:r>
          </w:p>
        </w:tc>
        <w:tc>
          <w:tcPr>
            <w:tcW w:type="dxa" w:w="4197"/>
            <w:vAlign w:val="center"/>
            <w:tcMar>
              <w:top w:w="85" w:type="dxa"/>
              <w:bottom w:w="85" w:type="dxa"/>
              <w:left w:w="95" w:type="dxa"/>
              <w:right w:w="95" w:type="dxa"/>
            </w:tcMar>
            <w:shd w:fill="FFFFFF"/>
          </w:tcPr>
          <w:p>
            <w:pPr>
              <w:pStyle w:val="TableText"/>
              <w:keepNext w:val="0"/>
              <w:keepLines/>
            </w:pPr>
            <w:r>
              <w:rPr>
                <w:sz w:val="20"/>
              </w:rPr>
              <w:t>Water-resistant bags, simple filters, and practical protective clothing.</w:t>
            </w:r>
          </w:p>
        </w:tc>
      </w:tr>
      <w:tr>
        <w:trPr>
          <w:cantSplit/>
        </w:trPr>
        <w:tc>
          <w:tcPr>
            <w:tcW w:type="dxa" w:w="2498"/>
            <w:vAlign w:val="center"/>
            <w:tcMar>
              <w:top w:w="85" w:type="dxa"/>
              <w:bottom w:w="85" w:type="dxa"/>
              <w:left w:w="95" w:type="dxa"/>
              <w:right w:w="95" w:type="dxa"/>
            </w:tcMar>
            <w:shd w:fill="F3F5F6"/>
          </w:tcPr>
          <w:p>
            <w:pPr>
              <w:pStyle w:val="TableText"/>
              <w:keepNext w:val="0"/>
              <w:keepLines/>
            </w:pPr>
            <w:r>
              <w:rPr>
                <w:sz w:val="20"/>
              </w:rPr>
              <w:t>Technical ceramics</w:t>
            </w:r>
          </w:p>
        </w:tc>
        <w:tc>
          <w:tcPr>
            <w:tcW w:type="dxa" w:w="3298"/>
            <w:vAlign w:val="center"/>
            <w:tcMar>
              <w:top w:w="85" w:type="dxa"/>
              <w:bottom w:w="85" w:type="dxa"/>
              <w:left w:w="95" w:type="dxa"/>
              <w:right w:w="95" w:type="dxa"/>
            </w:tcMar>
            <w:shd w:fill="F3F5F6"/>
          </w:tcPr>
          <w:p>
            <w:pPr>
              <w:pStyle w:val="TableText"/>
              <w:keepNext w:val="0"/>
              <w:keepLines/>
            </w:pPr>
            <w:r>
              <w:rPr>
                <w:sz w:val="20"/>
              </w:rPr>
              <w:t>Selected clay and a kiln</w:t>
            </w:r>
          </w:p>
        </w:tc>
        <w:tc>
          <w:tcPr>
            <w:tcW w:type="dxa" w:w="4197"/>
            <w:vAlign w:val="center"/>
            <w:tcMar>
              <w:top w:w="85" w:type="dxa"/>
              <w:bottom w:w="85" w:type="dxa"/>
              <w:left w:w="95" w:type="dxa"/>
              <w:right w:w="95" w:type="dxa"/>
            </w:tcMar>
            <w:shd w:fill="F3F5F6"/>
          </w:tcPr>
          <w:p>
            <w:pPr>
              <w:pStyle w:val="TableText"/>
              <w:keepNext w:val="0"/>
              <w:keepLines/>
            </w:pPr>
            <w:r>
              <w:rPr>
                <w:sz w:val="20"/>
              </w:rPr>
              <w:t>Insulating tiles, durable vessels, furnace parts, and thermal equipment.</w:t>
            </w:r>
          </w:p>
        </w:tc>
      </w:tr>
      <w:tr>
        <w:trPr>
          <w:cantSplit/>
        </w:trPr>
        <w:tc>
          <w:tcPr>
            <w:tcW w:type="dxa" w:w="2498"/>
            <w:vAlign w:val="center"/>
            <w:tcMar>
              <w:top w:w="85" w:type="dxa"/>
              <w:bottom w:w="85" w:type="dxa"/>
              <w:left w:w="95" w:type="dxa"/>
              <w:right w:w="95" w:type="dxa"/>
            </w:tcMar>
            <w:shd w:fill="FFFFFF"/>
          </w:tcPr>
          <w:p>
            <w:pPr>
              <w:pStyle w:val="TableText"/>
              <w:keepNext w:val="0"/>
              <w:keepLines/>
            </w:pPr>
            <w:r>
              <w:rPr>
                <w:sz w:val="20"/>
              </w:rPr>
              <w:t>Lightweight plates</w:t>
            </w:r>
          </w:p>
        </w:tc>
        <w:tc>
          <w:tcPr>
            <w:tcW w:type="dxa" w:w="3298"/>
            <w:vAlign w:val="center"/>
            <w:tcMar>
              <w:top w:w="85" w:type="dxa"/>
              <w:bottom w:w="85" w:type="dxa"/>
              <w:left w:w="95" w:type="dxa"/>
              <w:right w:w="95" w:type="dxa"/>
            </w:tcMar>
            <w:shd w:fill="FFFFFF"/>
          </w:tcPr>
          <w:p>
            <w:pPr>
              <w:pStyle w:val="TableText"/>
              <w:keepNext w:val="0"/>
              <w:keepLines/>
            </w:pPr>
            <w:r>
              <w:rPr>
                <w:sz w:val="20"/>
              </w:rPr>
              <w:t>Refined alumina material with an electrical processing station</w:t>
            </w:r>
          </w:p>
        </w:tc>
        <w:tc>
          <w:tcPr>
            <w:tcW w:type="dxa" w:w="4197"/>
            <w:vAlign w:val="center"/>
            <w:tcMar>
              <w:top w:w="85" w:type="dxa"/>
              <w:bottom w:w="85" w:type="dxa"/>
              <w:left w:w="95" w:type="dxa"/>
              <w:right w:w="95" w:type="dxa"/>
            </w:tcMar>
            <w:shd w:fill="FFFFFF"/>
          </w:tcPr>
          <w:p>
            <w:pPr>
              <w:pStyle w:val="TableText"/>
              <w:keepNext w:val="0"/>
              <w:keepLines/>
            </w:pPr>
            <w:r>
              <w:rPr>
                <w:sz w:val="20"/>
              </w:rPr>
              <w:t>Less burdensome tanks, expedition frames, and early spacecraft panels.</w:t>
            </w:r>
          </w:p>
        </w:tc>
      </w:tr>
      <w:tr>
        <w:trPr>
          <w:cantSplit/>
        </w:trPr>
        <w:tc>
          <w:tcPr>
            <w:tcW w:type="dxa" w:w="2498"/>
            <w:vAlign w:val="center"/>
            <w:tcMar>
              <w:top w:w="85" w:type="dxa"/>
              <w:bottom w:w="85" w:type="dxa"/>
              <w:left w:w="95" w:type="dxa"/>
              <w:right w:w="95" w:type="dxa"/>
            </w:tcMar>
            <w:shd w:fill="F3F5F6"/>
          </w:tcPr>
          <w:p>
            <w:pPr>
              <w:pStyle w:val="TableText"/>
              <w:keepNext w:val="0"/>
              <w:keepLines/>
            </w:pPr>
            <w:r>
              <w:rPr>
                <w:sz w:val="20"/>
              </w:rPr>
              <w:t>Reinforced alloy</w:t>
            </w:r>
          </w:p>
        </w:tc>
        <w:tc>
          <w:tcPr>
            <w:tcW w:type="dxa" w:w="3298"/>
            <w:vAlign w:val="center"/>
            <w:tcMar>
              <w:top w:w="85" w:type="dxa"/>
              <w:bottom w:w="85" w:type="dxa"/>
              <w:left w:w="95" w:type="dxa"/>
              <w:right w:w="95" w:type="dxa"/>
            </w:tcMar>
            <w:shd w:fill="F3F5F6"/>
          </w:tcPr>
          <w:p>
            <w:pPr>
              <w:pStyle w:val="TableText"/>
              <w:keepNext w:val="0"/>
              <w:keepLines/>
            </w:pPr>
            <w:r>
              <w:rPr>
                <w:sz w:val="20"/>
              </w:rPr>
              <w:t>Nickel-bearing and other selected metals in an improved furnace</w:t>
            </w:r>
          </w:p>
        </w:tc>
        <w:tc>
          <w:tcPr>
            <w:tcW w:type="dxa" w:w="4197"/>
            <w:vAlign w:val="center"/>
            <w:tcMar>
              <w:top w:w="85" w:type="dxa"/>
              <w:bottom w:w="85" w:type="dxa"/>
              <w:left w:w="95" w:type="dxa"/>
              <w:right w:w="95" w:type="dxa"/>
            </w:tcMar>
            <w:shd w:fill="F3F5F6"/>
          </w:tcPr>
          <w:p>
            <w:pPr>
              <w:pStyle w:val="TableText"/>
              <w:keepNext w:val="0"/>
              <w:keepLines/>
            </w:pPr>
            <w:r>
              <w:rPr>
                <w:sz w:val="20"/>
              </w:rPr>
              <w:t>Higher-duty mechanical parts and more resilient equipment.</w:t>
            </w:r>
          </w:p>
        </w:tc>
      </w:tr>
      <w:tr>
        <w:trPr>
          <w:cantSplit/>
        </w:trPr>
        <w:tc>
          <w:tcPr>
            <w:tcW w:type="dxa" w:w="2498"/>
            <w:vAlign w:val="center"/>
            <w:tcMar>
              <w:top w:w="85" w:type="dxa"/>
              <w:bottom w:w="85" w:type="dxa"/>
              <w:left w:w="95" w:type="dxa"/>
              <w:right w:w="95" w:type="dxa"/>
            </w:tcMar>
            <w:shd w:fill="FFFFFF"/>
          </w:tcPr>
          <w:p>
            <w:pPr>
              <w:pStyle w:val="TableText"/>
              <w:keepNext w:val="0"/>
              <w:keepLines/>
            </w:pPr>
            <w:r>
              <w:rPr>
                <w:sz w:val="20"/>
              </w:rPr>
              <w:t>Titanium frame stock</w:t>
            </w:r>
          </w:p>
        </w:tc>
        <w:tc>
          <w:tcPr>
            <w:tcW w:type="dxa" w:w="3298"/>
            <w:vAlign w:val="center"/>
            <w:tcMar>
              <w:top w:w="85" w:type="dxa"/>
              <w:bottom w:w="85" w:type="dxa"/>
              <w:left w:w="95" w:type="dxa"/>
              <w:right w:w="95" w:type="dxa"/>
            </w:tcMar>
            <w:shd w:fill="FFFFFF"/>
          </w:tcPr>
          <w:p>
            <w:pPr>
              <w:pStyle w:val="TableText"/>
              <w:keepNext w:val="0"/>
              <w:keepLines/>
            </w:pPr>
            <w:r>
              <w:rPr>
                <w:sz w:val="20"/>
              </w:rPr>
              <w:t>Titaniferous material processed with established high-temperature equipment</w:t>
            </w:r>
          </w:p>
        </w:tc>
        <w:tc>
          <w:tcPr>
            <w:tcW w:type="dxa" w:w="4197"/>
            <w:vAlign w:val="center"/>
            <w:tcMar>
              <w:top w:w="85" w:type="dxa"/>
              <w:bottom w:w="85" w:type="dxa"/>
              <w:left w:w="95" w:type="dxa"/>
              <w:right w:w="95" w:type="dxa"/>
            </w:tcMar>
            <w:shd w:fill="FFFFFF"/>
          </w:tcPr>
          <w:p>
            <w:pPr>
              <w:pStyle w:val="TableText"/>
              <w:keepNext w:val="0"/>
              <w:keepLines/>
            </w:pPr>
            <w:r>
              <w:rPr>
                <w:sz w:val="20"/>
              </w:rPr>
              <w:t>Advanced load support and specialist craft structures.</w:t>
            </w:r>
          </w:p>
        </w:tc>
      </w:tr>
      <w:tr>
        <w:trPr>
          <w:cantSplit/>
        </w:trPr>
        <w:tc>
          <w:tcPr>
            <w:tcW w:type="dxa" w:w="2498"/>
            <w:vAlign w:val="center"/>
            <w:tcMar>
              <w:top w:w="85" w:type="dxa"/>
              <w:bottom w:w="85" w:type="dxa"/>
              <w:left w:w="95" w:type="dxa"/>
              <w:right w:w="95" w:type="dxa"/>
            </w:tcMar>
            <w:shd w:fill="F3F5F6"/>
          </w:tcPr>
          <w:p>
            <w:pPr>
              <w:pStyle w:val="TableText"/>
              <w:keepNext w:val="0"/>
              <w:keepLines/>
            </w:pPr>
            <w:r>
              <w:rPr>
                <w:sz w:val="20"/>
              </w:rPr>
              <w:t>Optical assemblies</w:t>
            </w:r>
          </w:p>
        </w:tc>
        <w:tc>
          <w:tcPr>
            <w:tcW w:type="dxa" w:w="3298"/>
            <w:vAlign w:val="center"/>
            <w:tcMar>
              <w:top w:w="85" w:type="dxa"/>
              <w:bottom w:w="85" w:type="dxa"/>
              <w:left w:w="95" w:type="dxa"/>
              <w:right w:w="95" w:type="dxa"/>
            </w:tcMar>
            <w:shd w:fill="F3F5F6"/>
          </w:tcPr>
          <w:p>
            <w:pPr>
              <w:pStyle w:val="TableText"/>
              <w:keepNext w:val="0"/>
              <w:keepLines/>
            </w:pPr>
            <w:r>
              <w:rPr>
                <w:sz w:val="20"/>
              </w:rPr>
              <w:t>Quartz or lens crystal, metal fittings, and careful workshop assembly</w:t>
            </w:r>
          </w:p>
        </w:tc>
        <w:tc>
          <w:tcPr>
            <w:tcW w:type="dxa" w:w="4197"/>
            <w:vAlign w:val="center"/>
            <w:tcMar>
              <w:top w:w="85" w:type="dxa"/>
              <w:bottom w:w="85" w:type="dxa"/>
              <w:left w:w="95" w:type="dxa"/>
              <w:right w:w="95" w:type="dxa"/>
            </w:tcMar>
            <w:shd w:fill="F3F5F6"/>
          </w:tcPr>
          <w:p>
            <w:pPr>
              <w:pStyle w:val="TableText"/>
              <w:keepNext w:val="0"/>
              <w:keepLines/>
            </w:pPr>
            <w:r>
              <w:rPr>
                <w:sz w:val="20"/>
              </w:rPr>
              <w:t>Improved navigation, surveying, instruments, and observation.</w:t>
            </w:r>
          </w:p>
        </w:tc>
      </w:tr>
      <w:tr>
        <w:trPr>
          <w:cantSplit/>
        </w:trPr>
        <w:tc>
          <w:tcPr>
            <w:tcW w:type="dxa" w:w="2498"/>
            <w:vAlign w:val="center"/>
            <w:tcMar>
              <w:top w:w="85" w:type="dxa"/>
              <w:bottom w:w="85" w:type="dxa"/>
              <w:left w:w="95" w:type="dxa"/>
              <w:right w:w="95" w:type="dxa"/>
            </w:tcMar>
            <w:shd w:fill="FFFFFF"/>
          </w:tcPr>
          <w:p>
            <w:pPr>
              <w:pStyle w:val="TableText"/>
              <w:keepNext w:val="0"/>
              <w:keepLines/>
            </w:pPr>
            <w:r>
              <w:rPr>
                <w:sz w:val="20"/>
              </w:rPr>
              <w:t>Resonant components</w:t>
            </w:r>
          </w:p>
        </w:tc>
        <w:tc>
          <w:tcPr>
            <w:tcW w:type="dxa" w:w="3298"/>
            <w:vAlign w:val="center"/>
            <w:tcMar>
              <w:top w:w="85" w:type="dxa"/>
              <w:bottom w:w="85" w:type="dxa"/>
              <w:left w:w="95" w:type="dxa"/>
              <w:right w:w="95" w:type="dxa"/>
            </w:tcMar>
            <w:shd w:fill="FFFFFF"/>
          </w:tcPr>
          <w:p>
            <w:pPr>
              <w:pStyle w:val="TableText"/>
              <w:keepNext w:val="0"/>
              <w:keepLines/>
            </w:pPr>
            <w:r>
              <w:rPr>
                <w:sz w:val="20"/>
              </w:rPr>
              <w:t>Carefully prepared resonant quartz and instrument housings</w:t>
            </w:r>
          </w:p>
        </w:tc>
        <w:tc>
          <w:tcPr>
            <w:tcW w:type="dxa" w:w="4197"/>
            <w:vAlign w:val="center"/>
            <w:tcMar>
              <w:top w:w="85" w:type="dxa"/>
              <w:bottom w:w="85" w:type="dxa"/>
              <w:left w:w="95" w:type="dxa"/>
              <w:right w:w="95" w:type="dxa"/>
            </w:tcMar>
            <w:shd w:fill="FFFFFF"/>
          </w:tcPr>
          <w:p>
            <w:pPr>
              <w:pStyle w:val="TableText"/>
              <w:keepNext w:val="0"/>
              <w:keepLines/>
            </w:pPr>
            <w:r>
              <w:rPr>
                <w:sz w:val="20"/>
              </w:rPr>
              <w:t>Reading a defined family of unusual machines and traces.</w:t>
            </w:r>
          </w:p>
        </w:tc>
      </w:tr>
      <w:tr>
        <w:trPr>
          <w:cantSplit/>
        </w:trPr>
        <w:tc>
          <w:tcPr>
            <w:tcW w:type="dxa" w:w="2498"/>
            <w:vAlign w:val="center"/>
            <w:tcMar>
              <w:top w:w="85" w:type="dxa"/>
              <w:bottom w:w="85" w:type="dxa"/>
              <w:left w:w="95" w:type="dxa"/>
              <w:right w:w="95" w:type="dxa"/>
            </w:tcMar>
            <w:shd w:fill="F3F5F6"/>
          </w:tcPr>
          <w:p>
            <w:pPr>
              <w:pStyle w:val="TableText"/>
              <w:keepNext w:val="0"/>
              <w:keepLines/>
            </w:pPr>
            <w:r>
              <w:rPr>
                <w:sz w:val="20"/>
              </w:rPr>
              <w:t>Heartglass assemblies</w:t>
            </w:r>
          </w:p>
        </w:tc>
        <w:tc>
          <w:tcPr>
            <w:tcW w:type="dxa" w:w="3298"/>
            <w:vAlign w:val="center"/>
            <w:tcMar>
              <w:top w:w="85" w:type="dxa"/>
              <w:bottom w:w="85" w:type="dxa"/>
              <w:left w:w="95" w:type="dxa"/>
              <w:right w:w="95" w:type="dxa"/>
            </w:tcMar>
            <w:shd w:fill="F3F5F6"/>
          </w:tcPr>
          <w:p>
            <w:pPr>
              <w:pStyle w:val="TableText"/>
              <w:keepNext w:val="0"/>
              <w:keepLines/>
            </w:pPr>
            <w:r>
              <w:rPr>
                <w:sz w:val="20"/>
              </w:rPr>
              <w:t>Heartglass combined with established optical or thermal hardware</w:t>
            </w:r>
          </w:p>
        </w:tc>
        <w:tc>
          <w:tcPr>
            <w:tcW w:type="dxa" w:w="4197"/>
            <w:vAlign w:val="center"/>
            <w:tcMar>
              <w:top w:w="85" w:type="dxa"/>
              <w:bottom w:w="85" w:type="dxa"/>
              <w:left w:w="95" w:type="dxa"/>
              <w:right w:w="95" w:type="dxa"/>
            </w:tcMar>
            <w:shd w:fill="F3F5F6"/>
          </w:tcPr>
          <w:p>
            <w:pPr>
              <w:pStyle w:val="TableText"/>
              <w:keepNext w:val="0"/>
              <w:keepLines/>
            </w:pPr>
            <w:r>
              <w:rPr>
                <w:sz w:val="20"/>
              </w:rPr>
              <w:t>Advanced protection and instruments for the wider expedition arc.</w:t>
            </w:r>
          </w:p>
        </w:tc>
      </w:tr>
    </w:tbl>
    <w:p>
      <w:pPr>
        <w:spacing w:after="0" w:before="0" w:line="60" w:lineRule="exact"/>
      </w:pPr>
      <w:r>
        <w:rPr>
          <w:sz w:val="6"/>
        </w:rPr>
      </w:r>
    </w:p>
    <w:p>
      <w:pPr/>
      <w:r>
        <w:t>These are game-recipe directions rather than real manufacturing instructions. Their purpose is to organize understandable dependencies. Detailed numerical recipes should be balanced after the corresponding activity is playable.</w:t>
      </w:r>
    </w:p>
    <w:p>
      <w:pPr/>
      <w:r>
        <w:t>The first electrical processing capability must use materials available before aluminum and advanced alloys become necessary. A small copper-and-redstone workshop supply can support early experiments. A settlement power installation later handles repeated production. This avoids requiring a material to manufacture the machine that first produces it.</w:t>
      </w:r>
    </w:p>
    <w:p>
      <w:pPr/>
      <w:r>
        <w:t>The first thermal equipment must be made from accessible ceramics, steel, cloth, and a serviceable cooling supply. It allows a limited visit to the edge of hotter environments. Materials recovered there improve duration and convenience. The complete advanced suit must never be required to obtain its own first essential ingredient.</w:t>
      </w:r>
    </w:p>
    <w:p>
      <w:pPr/>
      <w:r>
        <w:t>Likewise, the first lunar mission must bring life support, a working cabin, fuel for the planned return, tools, and a safe starter shelter from Earth. Lunar materials improve later missions. The player should not need to find an uncertain local resource before they can breathe, refuel, or leave the first landing site.</w:t>
      </w:r>
    </w:p>
    <w:p>
      <w:pPr>
        <w:pStyle w:val="Heading2"/>
      </w:pPr>
      <w:r>
        <w:t>How new planetary materials enter the economy</w:t>
      </w:r>
    </w:p>
    <w:p>
      <w:pPr/>
      <w:r>
        <w:t>Each planetary profile defines its own material contribution. The general rule is that the first landing exports capability, the first successful expedition imports a useful improvement, and an established outpost eventually supports local convenience. A planetary resource may improve shielding, preserve a sample, support a specialist sensor, or open an unusual building palette.</w:t>
      </w:r>
    </w:p>
    <w:p>
      <w:pPr/>
      <w:r>
        <w:t>The economy should tolerate substitutes for routine uses. If both Earth and Mars can provide a common structural ingredient, either can fill that need. A distinctive planetary material should be required only where its specific property is relevant. This prevents the logistics network from becoming a string of compulsory trips for otherwise interchangeable ingredients.</w:t>
      </w:r>
    </w:p>
    <w:p>
      <w:pPr/>
      <w:r>
        <w:t>The discovery of a more efficient resource should improve choices without making every existing installation worthless. A player can retrofit a frame, change a module, or continue using a dependable older tool. A beloved workshop should remain a useful place when its equipment improves.</w:t>
      </w:r>
    </w:p>
    <w:p>
      <w:pPr>
        <w:pStyle w:val="Heading2"/>
      </w:pPr>
      <w:r>
        <w:t>Research through observation and useful work</w:t>
      </w:r>
    </w:p>
    <w:p>
      <w:pPr/>
      <w:r>
        <w:t>Knowledge progression starts with doing something meaningful: identifying a deposit, repairing a device, returning a sample, mapping a water route, or observing a creature's behavior. A field journal records the result. Workstations turn relevant knowledge and materials into a practical design.</w:t>
      </w:r>
    </w:p>
    <w:p>
      <w:pPr/>
      <w:r>
        <w:t>Research should not require arbitrary waiting in a menu. Some processes can take active-region time when a visible machine is doing recognizable work. The player should know what is happening, what is still required, and whether leaving will pause it. A repeated research task should unlock a function once, with later repetition serving optional production or collection.</w:t>
      </w:r>
    </w:p>
    <w:p>
      <w:pPr/>
      <w:r>
        <w:t>A settlement specialist can interpret a find and connect it to a possible project. Their role is to make the discovery legible and socially meaningful. The player still needs a usable record when the specialist is away, and an essential progression path needs a recoverable alternative if the character's normal schedule is interrupted.</w:t>
      </w:r>
    </w:p>
    <w:p>
      <w:pPr>
        <w:pStyle w:val="Heading2"/>
      </w:pPr>
      <w:r>
        <w:t>Scarcity and the removal of repetitive work</w:t>
      </w:r>
    </w:p>
    <w:p>
      <w:pPr/>
      <w:r>
        <w:t>Early scarcity makes materials recognizable. Later infrastructure should reduce routine burden. Workshops can prepare approved loadout supplies, storage can accept clear categories, and a secured transport line can move bounded orders. The player continues making important decisions while the settlement handles work they have already mastered.</w:t>
      </w:r>
    </w:p>
    <w:p>
      <w:pPr/>
      <w:r>
        <w:t>Automation requires an explicit source, destination, batch size, and stop condition. A production order should reveal its inputs and output before it runs. It should stop safely when storage is full or inputs run out. Offline progress follows the regional rules rather than a separate hidden catch-up simulation.</w:t>
      </w:r>
    </w:p>
    <w:p>
      <w:pPr/>
      <w:r>
        <w:t>The creative target is a world where finding a material is exciting, putting it to use is visible, and renewing ordinary supplies eventually becomes convenient. A long progression should accumulate possibilities instead of accumulating chores.</w:t>
      </w:r>
    </w:p>
    <w:p>
      <w:bookmarkStart w:id="18" w:name="chapter_18"/>
      <w:pPr>
        <w:pStyle w:val="Heading1"/>
      </w:pPr>
      <w:r>
        <w:t>Tools equipment and preparation</w:t>
      </w:r>
      <w:bookmarkEnd w:id="18"/>
    </w:p>
    <w:p>
      <w:pPr>
        <w:pStyle w:val="Heading2"/>
      </w:pPr>
      <w:r>
        <w:t>Capability comes before a universal gear score</w:t>
      </w:r>
    </w:p>
    <w:p>
      <w:pPr/>
      <w:r>
        <w:t>Equipment is organized around tasks. A mining tool, a climbing kit, a lamp, a protective garment, and a survey instrument solve different problems. The player should be able to carry a preferred mining tool for a long time while changing the support equipment suited to the next expedition.</w:t>
      </w:r>
    </w:p>
    <w:p>
      <w:pPr/>
      <w:r>
        <w:t>Major capabilities have an understandable first version and later improvements. A rope line teaches anchor placement before powered lifts arrive. A filtered mask supports brief work around spores before sealed equipment is available. A ceramic shield allows a cautious visit to heat before longer-duration thermal systems exist. These steps provide visible progress while keeping the number of independent equipment tiers manageable.</w:t>
      </w:r>
    </w:p>
    <w:p>
      <w:pPr/>
      <w:r>
        <w:t>The proposed capability families below are progression vocabulary, not mandatory chapter locks. Players may acquire some in a different order through exploration or cooperation.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98"/>
        <w:gridCol w:w="3298"/>
        <w:gridCol w:w="4197"/>
      </w:tblGrid>
      <w:tr>
        <w:trPr>
          <w:cantSplit/>
          <w:tblHeader w:val="true"/>
        </w:trPr>
        <w:tc>
          <w:tcPr>
            <w:tcW w:type="dxa" w:w="2498"/>
            <w:vAlign w:val="center"/>
            <w:tcMar>
              <w:top w:w="85" w:type="dxa"/>
              <w:bottom w:w="85" w:type="dxa"/>
              <w:left w:w="95" w:type="dxa"/>
              <w:right w:w="95" w:type="dxa"/>
            </w:tcMar>
            <w:shd w:fill="233544"/>
          </w:tcPr>
          <w:p>
            <w:pPr>
              <w:pStyle w:val="TableText"/>
              <w:keepNext w:val="0"/>
              <w:keepLines/>
              <w:jc w:val="center"/>
            </w:pPr>
            <w:r>
              <w:rPr>
                <w:b/>
                <w:color w:val="FFFFFF"/>
                <w:sz w:val="20"/>
              </w:rPr>
              <w:t>Family</w:t>
            </w:r>
          </w:p>
        </w:tc>
        <w:tc>
          <w:tcPr>
            <w:tcW w:type="dxa" w:w="3298"/>
            <w:vAlign w:val="center"/>
            <w:tcMar>
              <w:top w:w="85" w:type="dxa"/>
              <w:bottom w:w="85" w:type="dxa"/>
              <w:left w:w="95" w:type="dxa"/>
              <w:right w:w="95" w:type="dxa"/>
            </w:tcMar>
            <w:shd w:fill="233544"/>
          </w:tcPr>
          <w:p>
            <w:pPr>
              <w:pStyle w:val="TableText"/>
              <w:keepNext w:val="0"/>
              <w:keepLines/>
            </w:pPr>
            <w:r>
              <w:rPr>
                <w:b/>
                <w:color w:val="FFFFFF"/>
                <w:sz w:val="20"/>
              </w:rPr>
              <w:t>Representative equipment</w:t>
            </w:r>
          </w:p>
        </w:tc>
        <w:tc>
          <w:tcPr>
            <w:tcW w:type="dxa" w:w="4197"/>
            <w:vAlign w:val="center"/>
            <w:tcMar>
              <w:top w:w="85" w:type="dxa"/>
              <w:bottom w:w="85" w:type="dxa"/>
              <w:left w:w="95" w:type="dxa"/>
              <w:right w:w="95" w:type="dxa"/>
            </w:tcMar>
            <w:shd w:fill="233544"/>
          </w:tcPr>
          <w:p>
            <w:pPr>
              <w:pStyle w:val="TableText"/>
              <w:keepNext w:val="0"/>
              <w:keepLines/>
            </w:pPr>
            <w:r>
              <w:rPr>
                <w:b/>
                <w:color w:val="FFFFFF"/>
                <w:sz w:val="20"/>
              </w:rPr>
              <w:t>New practical opportunity</w:t>
            </w:r>
          </w:p>
        </w:tc>
      </w:tr>
      <w:tr>
        <w:trPr>
          <w:cantSplit/>
        </w:trPr>
        <w:tc>
          <w:tcPr>
            <w:tcW w:type="dxa" w:w="2498"/>
            <w:vAlign w:val="center"/>
            <w:tcMar>
              <w:top w:w="85" w:type="dxa"/>
              <w:bottom w:w="85" w:type="dxa"/>
              <w:left w:w="95" w:type="dxa"/>
              <w:right w:w="95" w:type="dxa"/>
            </w:tcMar>
            <w:shd w:fill="FFFFFF"/>
          </w:tcPr>
          <w:p>
            <w:pPr>
              <w:pStyle w:val="TableText"/>
              <w:keepNext w:val="0"/>
              <w:keepLines/>
            </w:pPr>
            <w:r>
              <w:rPr>
                <w:sz w:val="20"/>
              </w:rPr>
              <w:t>Field exploration</w:t>
            </w:r>
          </w:p>
        </w:tc>
        <w:tc>
          <w:tcPr>
            <w:tcW w:type="dxa" w:w="3298"/>
            <w:vAlign w:val="center"/>
            <w:tcMar>
              <w:top w:w="85" w:type="dxa"/>
              <w:bottom w:w="85" w:type="dxa"/>
              <w:left w:w="95" w:type="dxa"/>
              <w:right w:w="95" w:type="dxa"/>
            </w:tcMar>
            <w:shd w:fill="FFFFFF"/>
          </w:tcPr>
          <w:p>
            <w:pPr>
              <w:pStyle w:val="TableText"/>
              <w:keepNext w:val="0"/>
              <w:keepLines/>
            </w:pPr>
            <w:r>
              <w:rPr>
                <w:sz w:val="20"/>
              </w:rPr>
              <w:t>Good lamp, repair supplies, journal, route markers</w:t>
            </w:r>
          </w:p>
        </w:tc>
        <w:tc>
          <w:tcPr>
            <w:tcW w:type="dxa" w:w="4197"/>
            <w:vAlign w:val="center"/>
            <w:tcMar>
              <w:top w:w="85" w:type="dxa"/>
              <w:bottom w:w="85" w:type="dxa"/>
              <w:left w:w="95" w:type="dxa"/>
              <w:right w:w="95" w:type="dxa"/>
            </w:tcMar>
            <w:shd w:fill="FFFFFF"/>
          </w:tcPr>
          <w:p>
            <w:pPr>
              <w:pStyle w:val="TableText"/>
              <w:keepNext w:val="0"/>
              <w:keepLines/>
            </w:pPr>
            <w:r>
              <w:rPr>
                <w:sz w:val="20"/>
              </w:rPr>
              <w:t>Reliable short descents and a clear return route.</w:t>
            </w:r>
          </w:p>
        </w:tc>
      </w:tr>
      <w:tr>
        <w:trPr>
          <w:cantSplit/>
        </w:trPr>
        <w:tc>
          <w:tcPr>
            <w:tcW w:type="dxa" w:w="2498"/>
            <w:vAlign w:val="center"/>
            <w:tcMar>
              <w:top w:w="85" w:type="dxa"/>
              <w:bottom w:w="85" w:type="dxa"/>
              <w:left w:w="95" w:type="dxa"/>
              <w:right w:w="95" w:type="dxa"/>
            </w:tcMar>
            <w:shd w:fill="F3F5F6"/>
          </w:tcPr>
          <w:p>
            <w:pPr>
              <w:pStyle w:val="TableText"/>
              <w:keepNext w:val="0"/>
              <w:keepLines/>
              <w:jc w:val="center"/>
            </w:pPr>
            <w:r>
              <w:rPr>
                <w:sz w:val="20"/>
              </w:rPr>
              <w:t>Vertical travel</w:t>
            </w:r>
          </w:p>
        </w:tc>
        <w:tc>
          <w:tcPr>
            <w:tcW w:type="dxa" w:w="3298"/>
            <w:vAlign w:val="center"/>
            <w:tcMar>
              <w:top w:w="85" w:type="dxa"/>
              <w:bottom w:w="85" w:type="dxa"/>
              <w:left w:w="95" w:type="dxa"/>
              <w:right w:w="95" w:type="dxa"/>
            </w:tcMar>
            <w:shd w:fill="F3F5F6"/>
          </w:tcPr>
          <w:p>
            <w:pPr>
              <w:pStyle w:val="TableText"/>
              <w:keepNext w:val="0"/>
              <w:keepLines/>
            </w:pPr>
            <w:r>
              <w:rPr>
                <w:sz w:val="20"/>
              </w:rPr>
              <w:t>Rope, anchors, harness, improved carrying frame</w:t>
            </w:r>
          </w:p>
        </w:tc>
        <w:tc>
          <w:tcPr>
            <w:tcW w:type="dxa" w:w="4197"/>
            <w:vAlign w:val="center"/>
            <w:tcMar>
              <w:top w:w="85" w:type="dxa"/>
              <w:bottom w:w="85" w:type="dxa"/>
              <w:left w:w="95" w:type="dxa"/>
              <w:right w:w="95" w:type="dxa"/>
            </w:tcMar>
            <w:shd w:fill="F3F5F6"/>
          </w:tcPr>
          <w:p>
            <w:pPr>
              <w:pStyle w:val="TableText"/>
              <w:keepNext w:val="0"/>
              <w:keepLines/>
            </w:pPr>
            <w:r>
              <w:rPr>
                <w:sz w:val="20"/>
              </w:rPr>
              <w:t>Crossing shafts and moving supplies through awkward terrain.</w:t>
            </w:r>
          </w:p>
        </w:tc>
      </w:tr>
      <w:tr>
        <w:trPr>
          <w:cantSplit/>
        </w:trPr>
        <w:tc>
          <w:tcPr>
            <w:tcW w:type="dxa" w:w="2498"/>
            <w:vAlign w:val="center"/>
            <w:tcMar>
              <w:top w:w="85" w:type="dxa"/>
              <w:bottom w:w="85" w:type="dxa"/>
              <w:left w:w="95" w:type="dxa"/>
              <w:right w:w="95" w:type="dxa"/>
            </w:tcMar>
            <w:shd w:fill="FFFFFF"/>
          </w:tcPr>
          <w:p>
            <w:pPr>
              <w:pStyle w:val="TableText"/>
              <w:keepNext w:val="0"/>
              <w:keepLines/>
            </w:pPr>
            <w:r>
              <w:rPr>
                <w:sz w:val="20"/>
              </w:rPr>
              <w:t>Living environments</w:t>
            </w:r>
          </w:p>
        </w:tc>
        <w:tc>
          <w:tcPr>
            <w:tcW w:type="dxa" w:w="3298"/>
            <w:vAlign w:val="center"/>
            <w:tcMar>
              <w:top w:w="85" w:type="dxa"/>
              <w:bottom w:w="85" w:type="dxa"/>
              <w:left w:w="95" w:type="dxa"/>
              <w:right w:w="95" w:type="dxa"/>
            </w:tcMar>
            <w:shd w:fill="FFFFFF"/>
          </w:tcPr>
          <w:p>
            <w:pPr>
              <w:pStyle w:val="TableText"/>
              <w:keepNext w:val="0"/>
              <w:keepLines/>
            </w:pPr>
            <w:r>
              <w:rPr>
                <w:sz w:val="20"/>
              </w:rPr>
              <w:t>Filtered mask, sample jars, cultivation tools</w:t>
            </w:r>
          </w:p>
        </w:tc>
        <w:tc>
          <w:tcPr>
            <w:tcW w:type="dxa" w:w="4197"/>
            <w:vAlign w:val="center"/>
            <w:tcMar>
              <w:top w:w="85" w:type="dxa"/>
              <w:bottom w:w="85" w:type="dxa"/>
              <w:left w:w="95" w:type="dxa"/>
              <w:right w:w="95" w:type="dxa"/>
            </w:tcMar>
            <w:shd w:fill="FFFFFF"/>
          </w:tcPr>
          <w:p>
            <w:pPr>
              <w:pStyle w:val="TableText"/>
              <w:keepNext w:val="0"/>
              <w:keepLines/>
            </w:pPr>
            <w:r>
              <w:rPr>
                <w:sz w:val="20"/>
              </w:rPr>
              <w:t>Working in spore-rich areas and bringing useful life home.</w:t>
            </w:r>
          </w:p>
        </w:tc>
      </w:tr>
      <w:tr>
        <w:trPr>
          <w:cantSplit/>
        </w:trPr>
        <w:tc>
          <w:tcPr>
            <w:tcW w:type="dxa" w:w="2498"/>
            <w:vAlign w:val="center"/>
            <w:tcMar>
              <w:top w:w="85" w:type="dxa"/>
              <w:bottom w:w="85" w:type="dxa"/>
              <w:left w:w="95" w:type="dxa"/>
              <w:right w:w="95" w:type="dxa"/>
            </w:tcMar>
            <w:shd w:fill="F3F5F6"/>
          </w:tcPr>
          <w:p>
            <w:pPr>
              <w:pStyle w:val="TableText"/>
              <w:keepNext w:val="0"/>
              <w:keepLines/>
            </w:pPr>
            <w:r>
              <w:rPr>
                <w:sz w:val="20"/>
              </w:rPr>
              <w:t>Engineering expeditions</w:t>
            </w:r>
          </w:p>
        </w:tc>
        <w:tc>
          <w:tcPr>
            <w:tcW w:type="dxa" w:w="3298"/>
            <w:vAlign w:val="center"/>
            <w:tcMar>
              <w:top w:w="85" w:type="dxa"/>
              <w:bottom w:w="85" w:type="dxa"/>
              <w:left w:w="95" w:type="dxa"/>
              <w:right w:w="95" w:type="dxa"/>
            </w:tcMar>
            <w:shd w:fill="F3F5F6"/>
          </w:tcPr>
          <w:p>
            <w:pPr>
              <w:pStyle w:val="TableText"/>
              <w:keepNext w:val="0"/>
              <w:keepLines/>
            </w:pPr>
            <w:r>
              <w:rPr>
                <w:sz w:val="20"/>
              </w:rPr>
              <w:t>Pump, field battery, deployable bridge, survey instrument</w:t>
            </w:r>
          </w:p>
        </w:tc>
        <w:tc>
          <w:tcPr>
            <w:tcW w:type="dxa" w:w="4197"/>
            <w:vAlign w:val="center"/>
            <w:tcMar>
              <w:top w:w="85" w:type="dxa"/>
              <w:bottom w:w="85" w:type="dxa"/>
              <w:left w:w="95" w:type="dxa"/>
              <w:right w:w="95" w:type="dxa"/>
            </w:tcMar>
            <w:shd w:fill="F3F5F6"/>
          </w:tcPr>
          <w:p>
            <w:pPr>
              <w:pStyle w:val="TableText"/>
              <w:keepNext w:val="0"/>
              <w:keepLines/>
            </w:pPr>
            <w:r>
              <w:rPr>
                <w:sz w:val="20"/>
              </w:rPr>
              <w:t>Restoring routes and working around water or damaged infrastructure.</w:t>
            </w:r>
          </w:p>
        </w:tc>
      </w:tr>
      <w:tr>
        <w:trPr>
          <w:cantSplit/>
        </w:trPr>
        <w:tc>
          <w:tcPr>
            <w:tcW w:type="dxa" w:w="2498"/>
            <w:vAlign w:val="center"/>
            <w:tcMar>
              <w:top w:w="85" w:type="dxa"/>
              <w:bottom w:w="85" w:type="dxa"/>
              <w:left w:w="95" w:type="dxa"/>
              <w:right w:w="95" w:type="dxa"/>
            </w:tcMar>
            <w:shd w:fill="FFFFFF"/>
          </w:tcPr>
          <w:p>
            <w:pPr>
              <w:pStyle w:val="TableText"/>
              <w:keepNext w:val="0"/>
              <w:keepLines/>
            </w:pPr>
            <w:r>
              <w:rPr>
                <w:sz w:val="20"/>
              </w:rPr>
              <w:t>Extreme environments</w:t>
            </w:r>
          </w:p>
        </w:tc>
        <w:tc>
          <w:tcPr>
            <w:tcW w:type="dxa" w:w="3298"/>
            <w:vAlign w:val="center"/>
            <w:tcMar>
              <w:top w:w="85" w:type="dxa"/>
              <w:bottom w:w="85" w:type="dxa"/>
              <w:left w:w="95" w:type="dxa"/>
              <w:right w:w="95" w:type="dxa"/>
            </w:tcMar>
            <w:shd w:fill="FFFFFF"/>
          </w:tcPr>
          <w:p>
            <w:pPr>
              <w:pStyle w:val="TableText"/>
              <w:keepNext w:val="0"/>
              <w:keepLines/>
            </w:pPr>
            <w:r>
              <w:rPr>
                <w:sz w:val="20"/>
              </w:rPr>
              <w:t>Thermal protection, sealed supplies, specialist sensors</w:t>
            </w:r>
          </w:p>
        </w:tc>
        <w:tc>
          <w:tcPr>
            <w:tcW w:type="dxa" w:w="4197"/>
            <w:vAlign w:val="center"/>
            <w:tcMar>
              <w:top w:w="85" w:type="dxa"/>
              <w:bottom w:w="85" w:type="dxa"/>
              <w:left w:w="95" w:type="dxa"/>
              <w:right w:w="95" w:type="dxa"/>
            </w:tcMar>
            <w:shd w:fill="FFFFFF"/>
          </w:tcPr>
          <w:p>
            <w:pPr>
              <w:pStyle w:val="TableText"/>
              <w:keepNext w:val="0"/>
              <w:keepLines/>
            </w:pPr>
            <w:r>
              <w:rPr>
                <w:sz w:val="20"/>
              </w:rPr>
              <w:t>Longer visits to exposed deep areas and concentrated hazards.</w:t>
            </w:r>
          </w:p>
        </w:tc>
      </w:tr>
      <w:tr>
        <w:trPr>
          <w:cantSplit/>
        </w:trPr>
        <w:tc>
          <w:tcPr>
            <w:tcW w:type="dxa" w:w="2498"/>
            <w:vAlign w:val="center"/>
            <w:tcMar>
              <w:top w:w="85" w:type="dxa"/>
              <w:bottom w:w="85" w:type="dxa"/>
              <w:left w:w="95" w:type="dxa"/>
              <w:right w:w="95" w:type="dxa"/>
            </w:tcMar>
            <w:shd w:fill="F3F5F6"/>
          </w:tcPr>
          <w:p>
            <w:pPr>
              <w:pStyle w:val="TableText"/>
              <w:keepNext w:val="0"/>
              <w:keepLines/>
            </w:pPr>
            <w:r>
              <w:rPr>
                <w:sz w:val="20"/>
              </w:rPr>
              <w:t>Planetary survival</w:t>
            </w:r>
          </w:p>
        </w:tc>
        <w:tc>
          <w:tcPr>
            <w:tcW w:type="dxa" w:w="3298"/>
            <w:vAlign w:val="center"/>
            <w:tcMar>
              <w:top w:w="85" w:type="dxa"/>
              <w:bottom w:w="85" w:type="dxa"/>
              <w:left w:w="95" w:type="dxa"/>
              <w:right w:w="95" w:type="dxa"/>
            </w:tcMar>
            <w:shd w:fill="F3F5F6"/>
          </w:tcPr>
          <w:p>
            <w:pPr>
              <w:pStyle w:val="TableText"/>
              <w:keepNext w:val="0"/>
              <w:keepLines/>
            </w:pPr>
            <w:r>
              <w:rPr>
                <w:sz w:val="20"/>
              </w:rPr>
              <w:t>Sealed suit, tanks, communications, portable shelter</w:t>
            </w:r>
          </w:p>
        </w:tc>
        <w:tc>
          <w:tcPr>
            <w:tcW w:type="dxa" w:w="4197"/>
            <w:vAlign w:val="center"/>
            <w:tcMar>
              <w:top w:w="85" w:type="dxa"/>
              <w:bottom w:w="85" w:type="dxa"/>
              <w:left w:w="95" w:type="dxa"/>
              <w:right w:w="95" w:type="dxa"/>
            </w:tcMar>
            <w:shd w:fill="F3F5F6"/>
          </w:tcPr>
          <w:p>
            <w:pPr>
              <w:pStyle w:val="TableText"/>
              <w:keepNext w:val="0"/>
              <w:keepLines/>
            </w:pPr>
            <w:r>
              <w:rPr>
                <w:sz w:val="20"/>
              </w:rPr>
              <w:t>Leaving a spacecraft and operating in an unfamiliar environment.</w:t>
            </w:r>
          </w:p>
        </w:tc>
      </w:tr>
      <w:tr>
        <w:trPr>
          <w:cantSplit/>
        </w:trPr>
        <w:tc>
          <w:tcPr>
            <w:tcW w:type="dxa" w:w="2498"/>
            <w:vAlign w:val="center"/>
            <w:tcMar>
              <w:top w:w="85" w:type="dxa"/>
              <w:bottom w:w="85" w:type="dxa"/>
              <w:left w:w="95" w:type="dxa"/>
              <w:right w:w="95" w:type="dxa"/>
            </w:tcMar>
            <w:shd w:fill="FFFFFF"/>
          </w:tcPr>
          <w:p>
            <w:pPr>
              <w:pStyle w:val="TableText"/>
              <w:keepNext w:val="0"/>
              <w:keepLines/>
            </w:pPr>
            <w:r>
              <w:rPr>
                <w:sz w:val="20"/>
              </w:rPr>
              <w:t>Outer-world specialization</w:t>
            </w:r>
          </w:p>
        </w:tc>
        <w:tc>
          <w:tcPr>
            <w:tcW w:type="dxa" w:w="3298"/>
            <w:vAlign w:val="center"/>
            <w:tcMar>
              <w:top w:w="85" w:type="dxa"/>
              <w:bottom w:w="85" w:type="dxa"/>
              <w:left w:w="95" w:type="dxa"/>
              <w:right w:w="95" w:type="dxa"/>
            </w:tcMar>
            <w:shd w:fill="FFFFFF"/>
          </w:tcPr>
          <w:p>
            <w:pPr>
              <w:pStyle w:val="TableText"/>
              <w:keepNext w:val="0"/>
              <w:keepLines/>
            </w:pPr>
            <w:r>
              <w:rPr>
                <w:sz w:val="20"/>
              </w:rPr>
              <w:t>Destination-specific modules and expedition craft</w:t>
            </w:r>
          </w:p>
        </w:tc>
        <w:tc>
          <w:tcPr>
            <w:tcW w:type="dxa" w:w="4197"/>
            <w:vAlign w:val="center"/>
            <w:tcMar>
              <w:top w:w="85" w:type="dxa"/>
              <w:bottom w:w="85" w:type="dxa"/>
              <w:left w:w="95" w:type="dxa"/>
              <w:right w:w="95" w:type="dxa"/>
            </w:tcMar>
            <w:shd w:fill="FFFFFF"/>
          </w:tcPr>
          <w:p>
            <w:pPr>
              <w:pStyle w:val="TableText"/>
              <w:keepNext w:val="0"/>
              <w:keepLines/>
            </w:pPr>
            <w:r>
              <w:rPr>
                <w:sz w:val="20"/>
              </w:rPr>
              <w:t>Handling the unusual constraints of later moons and worlds.</w:t>
            </w:r>
          </w:p>
        </w:tc>
      </w:tr>
    </w:tbl>
    <w:p>
      <w:pPr>
        <w:spacing w:after="0" w:before="0" w:line="60" w:lineRule="exact"/>
      </w:pPr>
      <w:r>
        <w:rPr>
          <w:sz w:val="6"/>
        </w:rPr>
      </w:r>
    </w:p>
    <w:p>
      <w:pPr>
        <w:pStyle w:val="Heading2"/>
      </w:pPr>
      <w:r>
        <w:t>Hand tools and excavation</w:t>
      </w:r>
    </w:p>
    <w:p>
      <w:pPr/>
      <w:r>
        <w:t>The familiar pickaxe remains the baseline interaction with rock. New tool heads can improve durability, precision, or effectiveness on a particular material family. Their appearance should make the working surface readable at inventory size. Huge decorative blades and constant glow would undermine the practical visual identity.</w:t>
      </w:r>
    </w:p>
    <w:p>
      <w:pPr/>
      <w:r>
        <w:t>A geological hammer supports careful sample recovery and inspection. It is slower for bulk mining but preserves certain specimen forms. A field chisel shapes decorative stone and helps recover designed architectural details where permitted. Both give collectors and builders a reason to participate in geological exploration.</w:t>
      </w:r>
    </w:p>
    <w:p>
      <w:pPr/>
      <w:r>
        <w:t>A powered hand drill extends excavation capability at the cost of charge, repair needs, or weight. It can work a small chosen pattern after the player previews the direction. It should stop at protected content and newly exposed hazards. The player retains control over what is excavated.</w:t>
      </w:r>
    </w:p>
    <w:p>
      <w:pPr/>
      <w:r>
        <w:t>A stationary drill belongs to an established site. Its scaffold, power supply, collection point, and operating boundary are visible. A useful design might clear a planned shaft or work a known deposit in stages. Fully autonomous tunneling through arbitrary unknown terrain would introduce a much larger simulation and safety burden; it remains outside the default creative implementation direction.</w:t>
      </w:r>
    </w:p>
    <w:p>
      <w:pPr>
        <w:pStyle w:val="Heading2"/>
      </w:pPr>
      <w:r>
        <w:t>Traversal and carrying equipment</w:t>
      </w:r>
    </w:p>
    <w:p>
      <w:pPr/>
      <w:r>
        <w:t>Ropes and anchors turn vertical terrain into something the player can work with. Placement must show whether an anchor is supported and where the line will reach. The first version can use simple fixed lines and predictable climbing. The visual target emphasizes ordinary rope, metal fittings, and visible attachment points.</w:t>
      </w:r>
    </w:p>
    <w:p>
      <w:pPr/>
      <w:r>
        <w:t>A harness reduces risk while using approved lines. Later winches move modest cargo and support expedition partners. A deployable crossing provides a temporary route over a bounded gap, while a permanent bridge project improves a regularly traveled connection. These solve different travel problems and should remain distinct in appearance and use.</w:t>
      </w:r>
    </w:p>
    <w:p>
      <w:pPr/>
      <w:r>
        <w:t>The carrying frame helps the player transport samples or construction supplies. Its benefit should be balanced against the space or movement costs it introduces, without requiring a punitive encumbrance simulation. A few clear loadout slots or cargo attachments are preferable to many hidden weight thresholds.</w:t>
      </w:r>
    </w:p>
    <w:p>
      <w:pPr/>
      <w:r>
        <w:t>Gliding or assisted movement may become appropriate in selected large spaces, but it should not trivialize every underground obstacle. Environmental limits can come from available clearance, landing areas, line of sight, and the need to move cargo. New movement must be introduced with terrain that makes its possibilities and limits understandable.</w:t>
      </w:r>
    </w:p>
    <w:p>
      <w:pPr>
        <w:pStyle w:val="Heading2"/>
      </w:pPr>
      <w:r>
        <w:t>Light and navigation</w:t>
      </w:r>
    </w:p>
    <w:p>
      <w:pPr/>
      <w:r>
        <w:t>The basic expedition lamp should create a dependable readable area and a clear visual identity. A helmet or shoulder attachment frees the player's hands. A deployable work light serves construction, while small route markers communicate the way home. These tools should work with the baseline visual presentation; optional shaders can enrich their appearance.</w:t>
      </w:r>
    </w:p>
    <w:p>
      <w:pPr/>
      <w:r>
        <w:t>Light is also a way to describe settlement ownership and activity. Warm lamps identify maintained refuges. Cooler cultivated light can mark underground gardens. A damaged lamp or an extinguished route marker can signal a local problem. Critical navigation should use shapes and placement as well as color.</w:t>
      </w:r>
    </w:p>
    <w:p>
      <w:pPr/>
      <w:r>
        <w:t>A survey instrument begins by recording observations the player makes. It can identify a region, estimate direction to a recorded landmark, or display a coarse resource tendency. Upgrades can improve useful resolution, but the device should not erase exploration by exposing every room and object automatically.</w:t>
      </w:r>
    </w:p>
    <w:p>
      <w:pPr/>
      <w:r>
        <w:t>The journal connects maps, routes, specimens, and projects. A useful entry answers where something was observed, what remains uncertain, and what would help on the next visit. It should distinguish a personal note, a confirmed discovery, and a shared party waypoint without overwhelming the player with a technical database.</w:t>
      </w:r>
    </w:p>
    <w:p>
      <w:pPr>
        <w:pStyle w:val="Heading2"/>
      </w:pPr>
      <w:r>
        <w:t>Protection and consumables</w:t>
      </w:r>
    </w:p>
    <w:p>
      <w:pPr/>
      <w:r>
        <w:t>Protection should be legible in layers of capability. Work clothes provide ordinary durability and carrying options. A filtered mask addresses specific airborne hazards. Insulated equipment extends time near heat or cold. Sealed planetary equipment supports operation where breathable conditions are absent in the game fiction.</w:t>
      </w:r>
    </w:p>
    <w:p>
      <w:pPr/>
      <w:r>
        <w:t>The interface should show an understandable reserve for the active hazard and give warnings early enough to turn back. A failing filter, hot suit, or low tank needs a visual and optional audio signal. The player should be able to assess the problem without opening several menus during danger.</w:t>
      </w:r>
    </w:p>
    <w:p>
      <w:pPr/>
      <w:r>
        <w:t>Consumables should be specific and reasonably few: food, a relevant filter or breathing supply, a power reserve, repair materials, and a destination-specific item when necessary. Stacking many independent consumable bars would make the expedition difficult to read. Established settlements should offer saved loadout preparation so a familiar trip does not require repeated manual sorting.</w:t>
      </w:r>
    </w:p>
    <w:p>
      <w:pPr/>
      <w:r>
        <w:t>Emergency supplies buy recovery time rather than erase every consequence. A small breathing reserve can support a retreat to shelter. A patch kit repairs a defined fault. A signal device records a recovery location or helps a cooperative rescue. Their purpose is to turn a mistake into a tense solvable situation.</w:t>
      </w:r>
    </w:p>
    <w:p>
      <w:pPr>
        <w:pStyle w:val="Heading2"/>
      </w:pPr>
      <w:r>
        <w:t>Proposed equipment register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22"/>
        <w:gridCol w:w="2621"/>
        <w:gridCol w:w="3226"/>
        <w:gridCol w:w="3226"/>
      </w:tblGrid>
      <w:tr>
        <w:trPr>
          <w:cantSplit/>
          <w:tblHeader w:val="true"/>
        </w:trPr>
        <w:tc>
          <w:tcPr>
            <w:tcW w:type="dxa" w:w="922"/>
            <w:vAlign w:val="center"/>
            <w:tcMar>
              <w:top w:w="85" w:type="dxa"/>
              <w:bottom w:w="85" w:type="dxa"/>
              <w:left w:w="95" w:type="dxa"/>
              <w:right w:w="95" w:type="dxa"/>
            </w:tcMar>
            <w:shd w:fill="233544"/>
          </w:tcPr>
          <w:p>
            <w:pPr>
              <w:pStyle w:val="TableText"/>
              <w:keepNext w:val="0"/>
              <w:keepLines/>
              <w:jc w:val="center"/>
            </w:pPr>
            <w:r>
              <w:rPr>
                <w:b/>
                <w:color w:val="FFFFFF"/>
                <w:sz w:val="20"/>
              </w:rPr>
              <w:t>ID</w:t>
            </w:r>
          </w:p>
        </w:tc>
        <w:tc>
          <w:tcPr>
            <w:tcW w:type="dxa" w:w="2621"/>
            <w:vAlign w:val="center"/>
            <w:tcMar>
              <w:top w:w="85" w:type="dxa"/>
              <w:bottom w:w="85" w:type="dxa"/>
              <w:left w:w="95" w:type="dxa"/>
              <w:right w:w="95" w:type="dxa"/>
            </w:tcMar>
            <w:shd w:fill="233544"/>
          </w:tcPr>
          <w:p>
            <w:pPr>
              <w:pStyle w:val="TableText"/>
              <w:keepNext w:val="0"/>
              <w:keepLines/>
            </w:pPr>
            <w:r>
              <w:rPr>
                <w:b/>
                <w:color w:val="FFFFFF"/>
                <w:sz w:val="20"/>
              </w:rPr>
              <w:t>Equipment</w:t>
            </w:r>
          </w:p>
        </w:tc>
        <w:tc>
          <w:tcPr>
            <w:tcW w:type="dxa" w:w="3226"/>
            <w:vAlign w:val="center"/>
            <w:tcMar>
              <w:top w:w="85" w:type="dxa"/>
              <w:bottom w:w="85" w:type="dxa"/>
              <w:left w:w="95" w:type="dxa"/>
              <w:right w:w="95" w:type="dxa"/>
            </w:tcMar>
            <w:shd w:fill="233544"/>
          </w:tcPr>
          <w:p>
            <w:pPr>
              <w:pStyle w:val="TableText"/>
              <w:keepNext w:val="0"/>
              <w:keepLines/>
            </w:pPr>
            <w:r>
              <w:rPr>
                <w:b/>
                <w:color w:val="FFFFFF"/>
                <w:sz w:val="20"/>
              </w:rPr>
              <w:t>First useful role</w:t>
            </w:r>
          </w:p>
        </w:tc>
        <w:tc>
          <w:tcPr>
            <w:tcW w:type="dxa" w:w="3226"/>
            <w:vAlign w:val="center"/>
            <w:tcMar>
              <w:top w:w="85" w:type="dxa"/>
              <w:bottom w:w="85" w:type="dxa"/>
              <w:left w:w="95" w:type="dxa"/>
              <w:right w:w="95" w:type="dxa"/>
            </w:tcMar>
            <w:shd w:fill="233544"/>
          </w:tcPr>
          <w:p>
            <w:pPr>
              <w:pStyle w:val="TableText"/>
              <w:keepNext w:val="0"/>
              <w:keepLines/>
            </w:pPr>
            <w:r>
              <w:rPr>
                <w:b/>
                <w:color w:val="FFFFFF"/>
                <w:sz w:val="20"/>
              </w:rPr>
              <w:t>Image requirements</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EQ01</w:t>
            </w:r>
          </w:p>
        </w:tc>
        <w:tc>
          <w:tcPr>
            <w:tcW w:type="dxa" w:w="2621"/>
            <w:vAlign w:val="center"/>
            <w:tcMar>
              <w:top w:w="85" w:type="dxa"/>
              <w:bottom w:w="85" w:type="dxa"/>
              <w:left w:w="95" w:type="dxa"/>
              <w:right w:w="95" w:type="dxa"/>
            </w:tcMar>
            <w:shd w:fill="FFFFFF"/>
          </w:tcPr>
          <w:p>
            <w:pPr>
              <w:pStyle w:val="TableText"/>
              <w:keepNext w:val="0"/>
              <w:keepLines/>
            </w:pPr>
            <w:r>
              <w:rPr>
                <w:sz w:val="20"/>
              </w:rPr>
              <w:t>Expedition pickaxe</w:t>
            </w:r>
          </w:p>
        </w:tc>
        <w:tc>
          <w:tcPr>
            <w:tcW w:type="dxa" w:w="3226"/>
            <w:vAlign w:val="center"/>
            <w:tcMar>
              <w:top w:w="85" w:type="dxa"/>
              <w:bottom w:w="85" w:type="dxa"/>
              <w:left w:w="95" w:type="dxa"/>
              <w:right w:w="95" w:type="dxa"/>
            </w:tcMar>
            <w:shd w:fill="FFFFFF"/>
          </w:tcPr>
          <w:p>
            <w:pPr>
              <w:pStyle w:val="TableText"/>
              <w:keepNext w:val="0"/>
              <w:keepLines/>
            </w:pPr>
            <w:r>
              <w:rPr>
                <w:sz w:val="20"/>
              </w:rPr>
              <w:t>Familiar, maintainable mining tool</w:t>
            </w:r>
          </w:p>
        </w:tc>
        <w:tc>
          <w:tcPr>
            <w:tcW w:type="dxa" w:w="3226"/>
            <w:vAlign w:val="center"/>
            <w:tcMar>
              <w:top w:w="85" w:type="dxa"/>
              <w:bottom w:w="85" w:type="dxa"/>
              <w:left w:w="95" w:type="dxa"/>
              <w:right w:w="95" w:type="dxa"/>
            </w:tcMar>
            <w:shd w:fill="FFFFFF"/>
          </w:tcPr>
          <w:p>
            <w:pPr>
              <w:pStyle w:val="TableText"/>
              <w:keepNext w:val="0"/>
              <w:keepLines/>
            </w:pPr>
            <w:r>
              <w:rPr>
                <w:sz w:val="20"/>
              </w:rPr>
              <w:t>Held scale, head detail, material variants.</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EQ02</w:t>
            </w:r>
          </w:p>
        </w:tc>
        <w:tc>
          <w:tcPr>
            <w:tcW w:type="dxa" w:w="2621"/>
            <w:vAlign w:val="center"/>
            <w:tcMar>
              <w:top w:w="85" w:type="dxa"/>
              <w:bottom w:w="85" w:type="dxa"/>
              <w:left w:w="95" w:type="dxa"/>
              <w:right w:w="95" w:type="dxa"/>
            </w:tcMar>
            <w:shd w:fill="F3F5F6"/>
          </w:tcPr>
          <w:p>
            <w:pPr>
              <w:pStyle w:val="TableText"/>
              <w:keepNext w:val="0"/>
              <w:keepLines/>
            </w:pPr>
            <w:r>
              <w:rPr>
                <w:sz w:val="20"/>
              </w:rPr>
              <w:t>Geological hammer</w:t>
            </w:r>
          </w:p>
        </w:tc>
        <w:tc>
          <w:tcPr>
            <w:tcW w:type="dxa" w:w="3226"/>
            <w:vAlign w:val="center"/>
            <w:tcMar>
              <w:top w:w="85" w:type="dxa"/>
              <w:bottom w:w="85" w:type="dxa"/>
              <w:left w:w="95" w:type="dxa"/>
              <w:right w:w="95" w:type="dxa"/>
            </w:tcMar>
            <w:shd w:fill="F3F5F6"/>
          </w:tcPr>
          <w:p>
            <w:pPr>
              <w:pStyle w:val="TableText"/>
              <w:keepNext w:val="0"/>
              <w:keepLines/>
            </w:pPr>
            <w:r>
              <w:rPr>
                <w:sz w:val="20"/>
              </w:rPr>
              <w:t>Preserve and collect specimens</w:t>
            </w:r>
          </w:p>
        </w:tc>
        <w:tc>
          <w:tcPr>
            <w:tcW w:type="dxa" w:w="3226"/>
            <w:vAlign w:val="center"/>
            <w:tcMar>
              <w:top w:w="85" w:type="dxa"/>
              <w:bottom w:w="85" w:type="dxa"/>
              <w:left w:w="95" w:type="dxa"/>
              <w:right w:w="95" w:type="dxa"/>
            </w:tcMar>
            <w:shd w:fill="F3F5F6"/>
          </w:tcPr>
          <w:p>
            <w:pPr>
              <w:pStyle w:val="TableText"/>
              <w:keepNext w:val="0"/>
              <w:keepLines/>
            </w:pPr>
            <w:r>
              <w:rPr>
                <w:sz w:val="20"/>
              </w:rPr>
              <w:t>Side view and a specimen-recovery action.</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EQ03</w:t>
            </w:r>
          </w:p>
        </w:tc>
        <w:tc>
          <w:tcPr>
            <w:tcW w:type="dxa" w:w="2621"/>
            <w:vAlign w:val="center"/>
            <w:tcMar>
              <w:top w:w="85" w:type="dxa"/>
              <w:bottom w:w="85" w:type="dxa"/>
              <w:left w:w="95" w:type="dxa"/>
              <w:right w:w="95" w:type="dxa"/>
            </w:tcMar>
            <w:shd w:fill="FFFFFF"/>
          </w:tcPr>
          <w:p>
            <w:pPr>
              <w:pStyle w:val="TableText"/>
              <w:keepNext w:val="0"/>
              <w:keepLines/>
            </w:pPr>
            <w:r>
              <w:rPr>
                <w:sz w:val="20"/>
              </w:rPr>
              <w:t>Field chisel</w:t>
            </w:r>
          </w:p>
        </w:tc>
        <w:tc>
          <w:tcPr>
            <w:tcW w:type="dxa" w:w="3226"/>
            <w:vAlign w:val="center"/>
            <w:tcMar>
              <w:top w:w="85" w:type="dxa"/>
              <w:bottom w:w="85" w:type="dxa"/>
              <w:left w:w="95" w:type="dxa"/>
              <w:right w:w="95" w:type="dxa"/>
            </w:tcMar>
            <w:shd w:fill="FFFFFF"/>
          </w:tcPr>
          <w:p>
            <w:pPr>
              <w:pStyle w:val="TableText"/>
              <w:keepNext w:val="0"/>
              <w:keepLines/>
            </w:pPr>
            <w:r>
              <w:rPr>
                <w:sz w:val="20"/>
              </w:rPr>
              <w:t>Recover or shape selected stone details</w:t>
            </w:r>
          </w:p>
        </w:tc>
        <w:tc>
          <w:tcPr>
            <w:tcW w:type="dxa" w:w="3226"/>
            <w:vAlign w:val="center"/>
            <w:tcMar>
              <w:top w:w="85" w:type="dxa"/>
              <w:bottom w:w="85" w:type="dxa"/>
              <w:left w:w="95" w:type="dxa"/>
              <w:right w:w="95" w:type="dxa"/>
            </w:tcMar>
            <w:shd w:fill="FFFFFF"/>
          </w:tcPr>
          <w:p>
            <w:pPr>
              <w:pStyle w:val="TableText"/>
              <w:keepNext w:val="0"/>
              <w:keepLines/>
            </w:pPr>
            <w:r>
              <w:rPr>
                <w:sz w:val="20"/>
              </w:rPr>
              <w:t>Handle, cutting edge, and block-scale use.</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EQ04</w:t>
            </w:r>
          </w:p>
        </w:tc>
        <w:tc>
          <w:tcPr>
            <w:tcW w:type="dxa" w:w="2621"/>
            <w:vAlign w:val="center"/>
            <w:tcMar>
              <w:top w:w="85" w:type="dxa"/>
              <w:bottom w:w="85" w:type="dxa"/>
              <w:left w:w="95" w:type="dxa"/>
              <w:right w:w="95" w:type="dxa"/>
            </w:tcMar>
            <w:shd w:fill="F3F5F6"/>
          </w:tcPr>
          <w:p>
            <w:pPr>
              <w:pStyle w:val="TableText"/>
              <w:keepNext w:val="0"/>
              <w:keepLines/>
            </w:pPr>
            <w:r>
              <w:rPr>
                <w:sz w:val="20"/>
              </w:rPr>
              <w:t>Powered hand drill</w:t>
            </w:r>
          </w:p>
        </w:tc>
        <w:tc>
          <w:tcPr>
            <w:tcW w:type="dxa" w:w="3226"/>
            <w:vAlign w:val="center"/>
            <w:tcMar>
              <w:top w:w="85" w:type="dxa"/>
              <w:bottom w:w="85" w:type="dxa"/>
              <w:left w:w="95" w:type="dxa"/>
              <w:right w:w="95" w:type="dxa"/>
            </w:tcMar>
            <w:shd w:fill="F3F5F6"/>
          </w:tcPr>
          <w:p>
            <w:pPr>
              <w:pStyle w:val="TableText"/>
              <w:keepNext w:val="0"/>
              <w:keepLines/>
            </w:pPr>
            <w:r>
              <w:rPr>
                <w:sz w:val="20"/>
              </w:rPr>
              <w:t>Controlled small-volume excavation</w:t>
            </w:r>
          </w:p>
        </w:tc>
        <w:tc>
          <w:tcPr>
            <w:tcW w:type="dxa" w:w="3226"/>
            <w:vAlign w:val="center"/>
            <w:tcMar>
              <w:top w:w="85" w:type="dxa"/>
              <w:bottom w:w="85" w:type="dxa"/>
              <w:left w:w="95" w:type="dxa"/>
              <w:right w:w="95" w:type="dxa"/>
            </w:tcMar>
            <w:shd w:fill="F3F5F6"/>
          </w:tcPr>
          <w:p>
            <w:pPr>
              <w:pStyle w:val="TableText"/>
              <w:keepNext w:val="0"/>
              <w:keepLines/>
            </w:pPr>
            <w:r>
              <w:rPr>
                <w:sz w:val="20"/>
              </w:rPr>
              <w:t>Working head, battery position, and readable held silhouette.</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EQ05</w:t>
            </w:r>
          </w:p>
        </w:tc>
        <w:tc>
          <w:tcPr>
            <w:tcW w:type="dxa" w:w="2621"/>
            <w:vAlign w:val="center"/>
            <w:tcMar>
              <w:top w:w="85" w:type="dxa"/>
              <w:bottom w:w="85" w:type="dxa"/>
              <w:left w:w="95" w:type="dxa"/>
              <w:right w:w="95" w:type="dxa"/>
            </w:tcMar>
            <w:shd w:fill="FFFFFF"/>
          </w:tcPr>
          <w:p>
            <w:pPr>
              <w:pStyle w:val="TableText"/>
              <w:keepNext w:val="0"/>
              <w:keepLines/>
            </w:pPr>
            <w:r>
              <w:rPr>
                <w:sz w:val="20"/>
              </w:rPr>
              <w:t>Stationary drill frame</w:t>
            </w:r>
          </w:p>
        </w:tc>
        <w:tc>
          <w:tcPr>
            <w:tcW w:type="dxa" w:w="3226"/>
            <w:vAlign w:val="center"/>
            <w:tcMar>
              <w:top w:w="85" w:type="dxa"/>
              <w:bottom w:w="85" w:type="dxa"/>
              <w:left w:w="95" w:type="dxa"/>
              <w:right w:w="95" w:type="dxa"/>
            </w:tcMar>
            <w:shd w:fill="FFFFFF"/>
          </w:tcPr>
          <w:p>
            <w:pPr>
              <w:pStyle w:val="TableText"/>
              <w:keepNext w:val="0"/>
              <w:keepLines/>
            </w:pPr>
            <w:r>
              <w:rPr>
                <w:sz w:val="20"/>
              </w:rPr>
              <w:t>Work a bounded excavation project</w:t>
            </w:r>
          </w:p>
        </w:tc>
        <w:tc>
          <w:tcPr>
            <w:tcW w:type="dxa" w:w="3226"/>
            <w:vAlign w:val="center"/>
            <w:tcMar>
              <w:top w:w="85" w:type="dxa"/>
              <w:bottom w:w="85" w:type="dxa"/>
              <w:left w:w="95" w:type="dxa"/>
              <w:right w:w="95" w:type="dxa"/>
            </w:tcMar>
            <w:shd w:fill="FFFFFF"/>
          </w:tcPr>
          <w:p>
            <w:pPr>
              <w:pStyle w:val="TableText"/>
              <w:keepNext w:val="0"/>
              <w:keepLines/>
            </w:pPr>
            <w:r>
              <w:rPr>
                <w:sz w:val="20"/>
              </w:rPr>
              <w:t>Full installation, worker access, output bin, safety boundary.</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EQ06</w:t>
            </w:r>
          </w:p>
        </w:tc>
        <w:tc>
          <w:tcPr>
            <w:tcW w:type="dxa" w:w="2621"/>
            <w:vAlign w:val="center"/>
            <w:tcMar>
              <w:top w:w="85" w:type="dxa"/>
              <w:bottom w:w="85" w:type="dxa"/>
              <w:left w:w="95" w:type="dxa"/>
              <w:right w:w="95" w:type="dxa"/>
            </w:tcMar>
            <w:shd w:fill="F3F5F6"/>
          </w:tcPr>
          <w:p>
            <w:pPr>
              <w:pStyle w:val="TableText"/>
              <w:keepNext w:val="0"/>
              <w:keepLines/>
            </w:pPr>
            <w:r>
              <w:rPr>
                <w:sz w:val="20"/>
              </w:rPr>
              <w:t>Rope and anchor kit</w:t>
            </w:r>
          </w:p>
        </w:tc>
        <w:tc>
          <w:tcPr>
            <w:tcW w:type="dxa" w:w="3226"/>
            <w:vAlign w:val="center"/>
            <w:tcMar>
              <w:top w:w="85" w:type="dxa"/>
              <w:bottom w:w="85" w:type="dxa"/>
              <w:left w:w="95" w:type="dxa"/>
              <w:right w:w="95" w:type="dxa"/>
            </w:tcMar>
            <w:shd w:fill="F3F5F6"/>
          </w:tcPr>
          <w:p>
            <w:pPr>
              <w:pStyle w:val="TableText"/>
              <w:keepNext w:val="0"/>
              <w:keepLines/>
            </w:pPr>
            <w:r>
              <w:rPr>
                <w:sz w:val="20"/>
              </w:rPr>
              <w:t>Establish a climb and return route</w:t>
            </w:r>
          </w:p>
        </w:tc>
        <w:tc>
          <w:tcPr>
            <w:tcW w:type="dxa" w:w="3226"/>
            <w:vAlign w:val="center"/>
            <w:tcMar>
              <w:top w:w="85" w:type="dxa"/>
              <w:bottom w:w="85" w:type="dxa"/>
              <w:left w:w="95" w:type="dxa"/>
              <w:right w:w="95" w:type="dxa"/>
            </w:tcMar>
            <w:shd w:fill="F3F5F6"/>
          </w:tcPr>
          <w:p>
            <w:pPr>
              <w:pStyle w:val="TableText"/>
              <w:keepNext w:val="0"/>
              <w:keepLines/>
            </w:pPr>
            <w:r>
              <w:rPr>
                <w:sz w:val="20"/>
              </w:rPr>
              <w:t>Components and an anchor mounted in real block geometry.</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EQ07</w:t>
            </w:r>
          </w:p>
        </w:tc>
        <w:tc>
          <w:tcPr>
            <w:tcW w:type="dxa" w:w="2621"/>
            <w:vAlign w:val="center"/>
            <w:tcMar>
              <w:top w:w="85" w:type="dxa"/>
              <w:bottom w:w="85" w:type="dxa"/>
              <w:left w:w="95" w:type="dxa"/>
              <w:right w:w="95" w:type="dxa"/>
            </w:tcMar>
            <w:shd w:fill="FFFFFF"/>
          </w:tcPr>
          <w:p>
            <w:pPr>
              <w:pStyle w:val="TableText"/>
              <w:keepNext w:val="0"/>
              <w:keepLines/>
            </w:pPr>
            <w:r>
              <w:rPr>
                <w:sz w:val="20"/>
              </w:rPr>
              <w:t>Expedition harness</w:t>
            </w:r>
          </w:p>
        </w:tc>
        <w:tc>
          <w:tcPr>
            <w:tcW w:type="dxa" w:w="3226"/>
            <w:vAlign w:val="center"/>
            <w:tcMar>
              <w:top w:w="85" w:type="dxa"/>
              <w:bottom w:w="85" w:type="dxa"/>
              <w:left w:w="95" w:type="dxa"/>
              <w:right w:w="95" w:type="dxa"/>
            </w:tcMar>
            <w:shd w:fill="FFFFFF"/>
          </w:tcPr>
          <w:p>
            <w:pPr>
              <w:pStyle w:val="TableText"/>
              <w:keepNext w:val="0"/>
              <w:keepLines/>
            </w:pPr>
            <w:r>
              <w:rPr>
                <w:sz w:val="20"/>
              </w:rPr>
              <w:t>Use secured vertical routes</w:t>
            </w:r>
          </w:p>
        </w:tc>
        <w:tc>
          <w:tcPr>
            <w:tcW w:type="dxa" w:w="3226"/>
            <w:vAlign w:val="center"/>
            <w:tcMar>
              <w:top w:w="85" w:type="dxa"/>
              <w:bottom w:w="85" w:type="dxa"/>
              <w:left w:w="95" w:type="dxa"/>
              <w:right w:w="95" w:type="dxa"/>
            </w:tcMar>
            <w:shd w:fill="FFFFFF"/>
          </w:tcPr>
          <w:p>
            <w:pPr>
              <w:pStyle w:val="TableText"/>
              <w:keepNext w:val="0"/>
              <w:keepLines/>
            </w:pPr>
            <w:r>
              <w:rPr>
                <w:sz w:val="20"/>
              </w:rPr>
              <w:t>Front and back worn views with attachment points.</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EQ08</w:t>
            </w:r>
          </w:p>
        </w:tc>
        <w:tc>
          <w:tcPr>
            <w:tcW w:type="dxa" w:w="2621"/>
            <w:vAlign w:val="center"/>
            <w:tcMar>
              <w:top w:w="85" w:type="dxa"/>
              <w:bottom w:w="85" w:type="dxa"/>
              <w:left w:w="95" w:type="dxa"/>
              <w:right w:w="95" w:type="dxa"/>
            </w:tcMar>
            <w:shd w:fill="F3F5F6"/>
          </w:tcPr>
          <w:p>
            <w:pPr>
              <w:pStyle w:val="TableText"/>
              <w:keepNext w:val="0"/>
              <w:keepLines/>
            </w:pPr>
            <w:r>
              <w:rPr>
                <w:sz w:val="20"/>
              </w:rPr>
              <w:t>Cargo winch</w:t>
            </w:r>
          </w:p>
        </w:tc>
        <w:tc>
          <w:tcPr>
            <w:tcW w:type="dxa" w:w="3226"/>
            <w:vAlign w:val="center"/>
            <w:tcMar>
              <w:top w:w="85" w:type="dxa"/>
              <w:bottom w:w="85" w:type="dxa"/>
              <w:left w:w="95" w:type="dxa"/>
              <w:right w:w="95" w:type="dxa"/>
            </w:tcMar>
            <w:shd w:fill="F3F5F6"/>
          </w:tcPr>
          <w:p>
            <w:pPr>
              <w:pStyle w:val="TableText"/>
              <w:keepNext w:val="0"/>
              <w:keepLines/>
            </w:pPr>
            <w:r>
              <w:rPr>
                <w:sz w:val="20"/>
              </w:rPr>
              <w:t>Move supplies through vertical terrain</w:t>
            </w:r>
          </w:p>
        </w:tc>
        <w:tc>
          <w:tcPr>
            <w:tcW w:type="dxa" w:w="3226"/>
            <w:vAlign w:val="center"/>
            <w:tcMar>
              <w:top w:w="85" w:type="dxa"/>
              <w:bottom w:w="85" w:type="dxa"/>
              <w:left w:w="95" w:type="dxa"/>
              <w:right w:w="95" w:type="dxa"/>
            </w:tcMar>
            <w:shd w:fill="F3F5F6"/>
          </w:tcPr>
          <w:p>
            <w:pPr>
              <w:pStyle w:val="TableText"/>
              <w:keepNext w:val="0"/>
              <w:keepLines/>
            </w:pPr>
            <w:r>
              <w:rPr>
                <w:sz w:val="20"/>
              </w:rPr>
              <w:t>Frame, drum, power input, and suspended load.</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EQ09</w:t>
            </w:r>
          </w:p>
        </w:tc>
        <w:tc>
          <w:tcPr>
            <w:tcW w:type="dxa" w:w="2621"/>
            <w:vAlign w:val="center"/>
            <w:tcMar>
              <w:top w:w="85" w:type="dxa"/>
              <w:bottom w:w="85" w:type="dxa"/>
              <w:left w:w="95" w:type="dxa"/>
              <w:right w:w="95" w:type="dxa"/>
            </w:tcMar>
            <w:shd w:fill="FFFFFF"/>
          </w:tcPr>
          <w:p>
            <w:pPr>
              <w:pStyle w:val="TableText"/>
              <w:keepNext w:val="0"/>
              <w:keepLines/>
            </w:pPr>
            <w:r>
              <w:rPr>
                <w:sz w:val="20"/>
              </w:rPr>
              <w:t>Deployable crossing kit</w:t>
            </w:r>
          </w:p>
        </w:tc>
        <w:tc>
          <w:tcPr>
            <w:tcW w:type="dxa" w:w="3226"/>
            <w:vAlign w:val="center"/>
            <w:tcMar>
              <w:top w:w="85" w:type="dxa"/>
              <w:bottom w:w="85" w:type="dxa"/>
              <w:left w:w="95" w:type="dxa"/>
              <w:right w:w="95" w:type="dxa"/>
            </w:tcMar>
            <w:shd w:fill="FFFFFF"/>
          </w:tcPr>
          <w:p>
            <w:pPr>
              <w:pStyle w:val="TableText"/>
              <w:keepNext w:val="0"/>
              <w:keepLines/>
            </w:pPr>
            <w:r>
              <w:rPr>
                <w:sz w:val="20"/>
              </w:rPr>
              <w:t>Bridge a limited temporary gap</w:t>
            </w:r>
          </w:p>
        </w:tc>
        <w:tc>
          <w:tcPr>
            <w:tcW w:type="dxa" w:w="3226"/>
            <w:vAlign w:val="center"/>
            <w:tcMar>
              <w:top w:w="85" w:type="dxa"/>
              <w:bottom w:w="85" w:type="dxa"/>
              <w:left w:w="95" w:type="dxa"/>
              <w:right w:w="95" w:type="dxa"/>
            </w:tcMar>
            <w:shd w:fill="FFFFFF"/>
          </w:tcPr>
          <w:p>
            <w:pPr>
              <w:pStyle w:val="TableText"/>
              <w:keepNext w:val="0"/>
              <w:keepLines/>
            </w:pPr>
            <w:r>
              <w:rPr>
                <w:sz w:val="20"/>
              </w:rPr>
              <w:t>Packed state, placement preview, deployed span.</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EQ10</w:t>
            </w:r>
          </w:p>
        </w:tc>
        <w:tc>
          <w:tcPr>
            <w:tcW w:type="dxa" w:w="2621"/>
            <w:vAlign w:val="center"/>
            <w:tcMar>
              <w:top w:w="85" w:type="dxa"/>
              <w:bottom w:w="85" w:type="dxa"/>
              <w:left w:w="95" w:type="dxa"/>
              <w:right w:w="95" w:type="dxa"/>
            </w:tcMar>
            <w:shd w:fill="F3F5F6"/>
          </w:tcPr>
          <w:p>
            <w:pPr>
              <w:pStyle w:val="TableText"/>
              <w:keepNext w:val="0"/>
              <w:keepLines/>
            </w:pPr>
            <w:r>
              <w:rPr>
                <w:sz w:val="20"/>
              </w:rPr>
              <w:t>Carrying frame</w:t>
            </w:r>
          </w:p>
        </w:tc>
        <w:tc>
          <w:tcPr>
            <w:tcW w:type="dxa" w:w="3226"/>
            <w:vAlign w:val="center"/>
            <w:tcMar>
              <w:top w:w="85" w:type="dxa"/>
              <w:bottom w:w="85" w:type="dxa"/>
              <w:left w:w="95" w:type="dxa"/>
              <w:right w:w="95" w:type="dxa"/>
            </w:tcMar>
            <w:shd w:fill="F3F5F6"/>
          </w:tcPr>
          <w:p>
            <w:pPr>
              <w:pStyle w:val="TableText"/>
              <w:keepNext w:val="0"/>
              <w:keepLines/>
            </w:pPr>
            <w:r>
              <w:rPr>
                <w:sz w:val="20"/>
              </w:rPr>
              <w:t>Carry a sample or expedition cargo</w:t>
            </w:r>
          </w:p>
        </w:tc>
        <w:tc>
          <w:tcPr>
            <w:tcW w:type="dxa" w:w="3226"/>
            <w:vAlign w:val="center"/>
            <w:tcMar>
              <w:top w:w="85" w:type="dxa"/>
              <w:bottom w:w="85" w:type="dxa"/>
              <w:left w:w="95" w:type="dxa"/>
              <w:right w:w="95" w:type="dxa"/>
            </w:tcMar>
            <w:shd w:fill="F3F5F6"/>
          </w:tcPr>
          <w:p>
            <w:pPr>
              <w:pStyle w:val="TableText"/>
              <w:keepNext w:val="0"/>
              <w:keepLines/>
            </w:pPr>
            <w:r>
              <w:rPr>
                <w:sz w:val="20"/>
              </w:rPr>
              <w:t>Worn silhouette, cargo attachments, loaded variation.</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EQ11</w:t>
            </w:r>
          </w:p>
        </w:tc>
        <w:tc>
          <w:tcPr>
            <w:tcW w:type="dxa" w:w="2621"/>
            <w:vAlign w:val="center"/>
            <w:tcMar>
              <w:top w:w="85" w:type="dxa"/>
              <w:bottom w:w="85" w:type="dxa"/>
              <w:left w:w="95" w:type="dxa"/>
              <w:right w:w="95" w:type="dxa"/>
            </w:tcMar>
            <w:shd w:fill="FFFFFF"/>
          </w:tcPr>
          <w:p>
            <w:pPr>
              <w:pStyle w:val="TableText"/>
              <w:keepNext w:val="0"/>
              <w:keepLines/>
            </w:pPr>
            <w:r>
              <w:rPr>
                <w:sz w:val="20"/>
              </w:rPr>
              <w:t>Expedition lamp</w:t>
            </w:r>
          </w:p>
        </w:tc>
        <w:tc>
          <w:tcPr>
            <w:tcW w:type="dxa" w:w="3226"/>
            <w:vAlign w:val="center"/>
            <w:tcMar>
              <w:top w:w="85" w:type="dxa"/>
              <w:bottom w:w="85" w:type="dxa"/>
              <w:left w:w="95" w:type="dxa"/>
              <w:right w:w="95" w:type="dxa"/>
            </w:tcMar>
            <w:shd w:fill="FFFFFF"/>
          </w:tcPr>
          <w:p>
            <w:pPr>
              <w:pStyle w:val="TableText"/>
              <w:keepNext w:val="0"/>
              <w:keepLines/>
            </w:pPr>
            <w:r>
              <w:rPr>
                <w:sz w:val="20"/>
              </w:rPr>
              <w:t>Provide dependable mobile light</w:t>
            </w:r>
          </w:p>
        </w:tc>
        <w:tc>
          <w:tcPr>
            <w:tcW w:type="dxa" w:w="3226"/>
            <w:vAlign w:val="center"/>
            <w:tcMar>
              <w:top w:w="85" w:type="dxa"/>
              <w:bottom w:w="85" w:type="dxa"/>
              <w:left w:w="95" w:type="dxa"/>
              <w:right w:w="95" w:type="dxa"/>
            </w:tcMar>
            <w:shd w:fill="FFFFFF"/>
          </w:tcPr>
          <w:p>
            <w:pPr>
              <w:pStyle w:val="TableText"/>
              <w:keepNext w:val="0"/>
              <w:keepLines/>
            </w:pPr>
            <w:r>
              <w:rPr>
                <w:sz w:val="20"/>
              </w:rPr>
              <w:t>Off, on, and equipped views.</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EQ12</w:t>
            </w:r>
          </w:p>
        </w:tc>
        <w:tc>
          <w:tcPr>
            <w:tcW w:type="dxa" w:w="2621"/>
            <w:vAlign w:val="center"/>
            <w:tcMar>
              <w:top w:w="85" w:type="dxa"/>
              <w:bottom w:w="85" w:type="dxa"/>
              <w:left w:w="95" w:type="dxa"/>
              <w:right w:w="95" w:type="dxa"/>
            </w:tcMar>
            <w:shd w:fill="F3F5F6"/>
          </w:tcPr>
          <w:p>
            <w:pPr>
              <w:pStyle w:val="TableText"/>
              <w:keepNext w:val="0"/>
              <w:keepLines/>
            </w:pPr>
            <w:r>
              <w:rPr>
                <w:sz w:val="20"/>
              </w:rPr>
              <w:t>Work light</w:t>
            </w:r>
          </w:p>
        </w:tc>
        <w:tc>
          <w:tcPr>
            <w:tcW w:type="dxa" w:w="3226"/>
            <w:vAlign w:val="center"/>
            <w:tcMar>
              <w:top w:w="85" w:type="dxa"/>
              <w:bottom w:w="85" w:type="dxa"/>
              <w:left w:w="95" w:type="dxa"/>
              <w:right w:w="95" w:type="dxa"/>
            </w:tcMar>
            <w:shd w:fill="F3F5F6"/>
          </w:tcPr>
          <w:p>
            <w:pPr>
              <w:pStyle w:val="TableText"/>
              <w:keepNext w:val="0"/>
              <w:keepLines/>
            </w:pPr>
            <w:r>
              <w:rPr>
                <w:sz w:val="20"/>
              </w:rPr>
              <w:t>Illuminate a construction or sampling area</w:t>
            </w:r>
          </w:p>
        </w:tc>
        <w:tc>
          <w:tcPr>
            <w:tcW w:type="dxa" w:w="3226"/>
            <w:vAlign w:val="center"/>
            <w:tcMar>
              <w:top w:w="85" w:type="dxa"/>
              <w:bottom w:w="85" w:type="dxa"/>
              <w:left w:w="95" w:type="dxa"/>
              <w:right w:w="95" w:type="dxa"/>
            </w:tcMar>
            <w:shd w:fill="F3F5F6"/>
          </w:tcPr>
          <w:p>
            <w:pPr>
              <w:pStyle w:val="TableText"/>
              <w:keepNext w:val="0"/>
              <w:keepLines/>
            </w:pPr>
            <w:r>
              <w:rPr>
                <w:sz w:val="20"/>
              </w:rPr>
              <w:t>Deployed stand and coverage context.</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EQ13</w:t>
            </w:r>
          </w:p>
        </w:tc>
        <w:tc>
          <w:tcPr>
            <w:tcW w:type="dxa" w:w="2621"/>
            <w:vAlign w:val="center"/>
            <w:tcMar>
              <w:top w:w="85" w:type="dxa"/>
              <w:bottom w:w="85" w:type="dxa"/>
              <w:left w:w="95" w:type="dxa"/>
              <w:right w:w="95" w:type="dxa"/>
            </w:tcMar>
            <w:shd w:fill="FFFFFF"/>
          </w:tcPr>
          <w:p>
            <w:pPr>
              <w:pStyle w:val="TableText"/>
              <w:keepNext w:val="0"/>
              <w:keepLines/>
            </w:pPr>
            <w:r>
              <w:rPr>
                <w:sz w:val="20"/>
              </w:rPr>
              <w:t>Route markers</w:t>
            </w:r>
          </w:p>
        </w:tc>
        <w:tc>
          <w:tcPr>
            <w:tcW w:type="dxa" w:w="3226"/>
            <w:vAlign w:val="center"/>
            <w:tcMar>
              <w:top w:w="85" w:type="dxa"/>
              <w:bottom w:w="85" w:type="dxa"/>
              <w:left w:w="95" w:type="dxa"/>
              <w:right w:w="95" w:type="dxa"/>
            </w:tcMar>
            <w:shd w:fill="FFFFFF"/>
          </w:tcPr>
          <w:p>
            <w:pPr>
              <w:pStyle w:val="TableText"/>
              <w:keepNext w:val="0"/>
              <w:keepLines/>
            </w:pPr>
            <w:r>
              <w:rPr>
                <w:sz w:val="20"/>
              </w:rPr>
              <w:t>Mark a route and communicate direction</w:t>
            </w:r>
          </w:p>
        </w:tc>
        <w:tc>
          <w:tcPr>
            <w:tcW w:type="dxa" w:w="3226"/>
            <w:vAlign w:val="center"/>
            <w:tcMar>
              <w:top w:w="85" w:type="dxa"/>
              <w:bottom w:w="85" w:type="dxa"/>
              <w:left w:w="95" w:type="dxa"/>
              <w:right w:w="95" w:type="dxa"/>
            </w:tcMar>
            <w:shd w:fill="FFFFFF"/>
          </w:tcPr>
          <w:p>
            <w:pPr>
              <w:pStyle w:val="TableText"/>
              <w:keepNext w:val="0"/>
              <w:keepLines/>
            </w:pPr>
            <w:r>
              <w:rPr>
                <w:sz w:val="20"/>
              </w:rPr>
              <w:t>Shape set, arrows, symbols, and color-independent reading.</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EQ14</w:t>
            </w:r>
          </w:p>
        </w:tc>
        <w:tc>
          <w:tcPr>
            <w:tcW w:type="dxa" w:w="2621"/>
            <w:vAlign w:val="center"/>
            <w:tcMar>
              <w:top w:w="85" w:type="dxa"/>
              <w:bottom w:w="85" w:type="dxa"/>
              <w:left w:w="95" w:type="dxa"/>
              <w:right w:w="95" w:type="dxa"/>
            </w:tcMar>
            <w:shd w:fill="F3F5F6"/>
          </w:tcPr>
          <w:p>
            <w:pPr>
              <w:pStyle w:val="TableText"/>
              <w:keepNext w:val="0"/>
              <w:keepLines/>
            </w:pPr>
            <w:r>
              <w:rPr>
                <w:sz w:val="20"/>
              </w:rPr>
              <w:t>Survey instrument</w:t>
            </w:r>
          </w:p>
        </w:tc>
        <w:tc>
          <w:tcPr>
            <w:tcW w:type="dxa" w:w="3226"/>
            <w:vAlign w:val="center"/>
            <w:tcMar>
              <w:top w:w="85" w:type="dxa"/>
              <w:bottom w:w="85" w:type="dxa"/>
              <w:left w:w="95" w:type="dxa"/>
              <w:right w:w="95" w:type="dxa"/>
            </w:tcMar>
            <w:shd w:fill="F3F5F6"/>
          </w:tcPr>
          <w:p>
            <w:pPr>
              <w:pStyle w:val="TableText"/>
              <w:keepNext w:val="0"/>
              <w:keepLines/>
            </w:pPr>
            <w:r>
              <w:rPr>
                <w:sz w:val="20"/>
              </w:rPr>
              <w:t>Record terrain and locate known targets</w:t>
            </w:r>
          </w:p>
        </w:tc>
        <w:tc>
          <w:tcPr>
            <w:tcW w:type="dxa" w:w="3226"/>
            <w:vAlign w:val="center"/>
            <w:tcMar>
              <w:top w:w="85" w:type="dxa"/>
              <w:bottom w:w="85" w:type="dxa"/>
              <w:left w:w="95" w:type="dxa"/>
              <w:right w:w="95" w:type="dxa"/>
            </w:tcMar>
            <w:shd w:fill="F3F5F6"/>
          </w:tcPr>
          <w:p>
            <w:pPr>
              <w:pStyle w:val="TableText"/>
              <w:keepNext w:val="0"/>
              <w:keepLines/>
            </w:pPr>
            <w:r>
              <w:rPr>
                <w:sz w:val="20"/>
              </w:rPr>
              <w:t>Held tool, field use, and screen information hierarchy.</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EQ15</w:t>
            </w:r>
          </w:p>
        </w:tc>
        <w:tc>
          <w:tcPr>
            <w:tcW w:type="dxa" w:w="2621"/>
            <w:vAlign w:val="center"/>
            <w:tcMar>
              <w:top w:w="85" w:type="dxa"/>
              <w:bottom w:w="85" w:type="dxa"/>
              <w:left w:w="95" w:type="dxa"/>
              <w:right w:w="95" w:type="dxa"/>
            </w:tcMar>
            <w:shd w:fill="FFFFFF"/>
          </w:tcPr>
          <w:p>
            <w:pPr>
              <w:pStyle w:val="TableText"/>
              <w:keepNext w:val="0"/>
              <w:keepLines/>
            </w:pPr>
            <w:r>
              <w:rPr>
                <w:sz w:val="20"/>
              </w:rPr>
              <w:t>Field journal</w:t>
            </w:r>
          </w:p>
        </w:tc>
        <w:tc>
          <w:tcPr>
            <w:tcW w:type="dxa" w:w="3226"/>
            <w:vAlign w:val="center"/>
            <w:tcMar>
              <w:top w:w="85" w:type="dxa"/>
              <w:bottom w:w="85" w:type="dxa"/>
              <w:left w:w="95" w:type="dxa"/>
              <w:right w:w="95" w:type="dxa"/>
            </w:tcMar>
            <w:shd w:fill="FFFFFF"/>
          </w:tcPr>
          <w:p>
            <w:pPr>
              <w:pStyle w:val="TableText"/>
              <w:keepNext w:val="0"/>
              <w:keepLines/>
            </w:pPr>
            <w:r>
              <w:rPr>
                <w:sz w:val="20"/>
              </w:rPr>
              <w:t>Connect discoveries and next actions</w:t>
            </w:r>
          </w:p>
        </w:tc>
        <w:tc>
          <w:tcPr>
            <w:tcW w:type="dxa" w:w="3226"/>
            <w:vAlign w:val="center"/>
            <w:tcMar>
              <w:top w:w="85" w:type="dxa"/>
              <w:bottom w:w="85" w:type="dxa"/>
              <w:left w:w="95" w:type="dxa"/>
              <w:right w:w="95" w:type="dxa"/>
            </w:tcMar>
            <w:shd w:fill="FFFFFF"/>
          </w:tcPr>
          <w:p>
            <w:pPr>
              <w:pStyle w:val="TableText"/>
              <w:keepNext w:val="0"/>
              <w:keepLines/>
            </w:pPr>
            <w:r>
              <w:rPr>
                <w:sz w:val="20"/>
              </w:rPr>
              <w:t>Open pages or screen, map relationship, annotation example.</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EQ16</w:t>
            </w:r>
          </w:p>
        </w:tc>
        <w:tc>
          <w:tcPr>
            <w:tcW w:type="dxa" w:w="2621"/>
            <w:vAlign w:val="center"/>
            <w:tcMar>
              <w:top w:w="85" w:type="dxa"/>
              <w:bottom w:w="85" w:type="dxa"/>
              <w:left w:w="95" w:type="dxa"/>
              <w:right w:w="95" w:type="dxa"/>
            </w:tcMar>
            <w:shd w:fill="F3F5F6"/>
          </w:tcPr>
          <w:p>
            <w:pPr>
              <w:pStyle w:val="TableText"/>
              <w:keepNext w:val="0"/>
              <w:keepLines/>
            </w:pPr>
            <w:r>
              <w:rPr>
                <w:sz w:val="20"/>
              </w:rPr>
              <w:t>Sample kit</w:t>
            </w:r>
          </w:p>
        </w:tc>
        <w:tc>
          <w:tcPr>
            <w:tcW w:type="dxa" w:w="3226"/>
            <w:vAlign w:val="center"/>
            <w:tcMar>
              <w:top w:w="85" w:type="dxa"/>
              <w:bottom w:w="85" w:type="dxa"/>
              <w:left w:w="95" w:type="dxa"/>
              <w:right w:w="95" w:type="dxa"/>
            </w:tcMar>
            <w:shd w:fill="F3F5F6"/>
          </w:tcPr>
          <w:p>
            <w:pPr>
              <w:pStyle w:val="TableText"/>
              <w:keepNext w:val="0"/>
              <w:keepLines/>
            </w:pPr>
            <w:r>
              <w:rPr>
                <w:sz w:val="20"/>
              </w:rPr>
              <w:t>Preserve mineral and biological finds</w:t>
            </w:r>
          </w:p>
        </w:tc>
        <w:tc>
          <w:tcPr>
            <w:tcW w:type="dxa" w:w="3226"/>
            <w:vAlign w:val="center"/>
            <w:tcMar>
              <w:top w:w="85" w:type="dxa"/>
              <w:bottom w:w="85" w:type="dxa"/>
              <w:left w:w="95" w:type="dxa"/>
              <w:right w:w="95" w:type="dxa"/>
            </w:tcMar>
            <w:shd w:fill="F3F5F6"/>
          </w:tcPr>
          <w:p>
            <w:pPr>
              <w:pStyle w:val="TableText"/>
              <w:keepNext w:val="0"/>
              <w:keepLines/>
            </w:pPr>
            <w:r>
              <w:rPr>
                <w:sz w:val="20"/>
              </w:rPr>
              <w:t>Containers for dry, wet, fragile, and living samples.</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EQ17</w:t>
            </w:r>
          </w:p>
        </w:tc>
        <w:tc>
          <w:tcPr>
            <w:tcW w:type="dxa" w:w="2621"/>
            <w:vAlign w:val="center"/>
            <w:tcMar>
              <w:top w:w="85" w:type="dxa"/>
              <w:bottom w:w="85" w:type="dxa"/>
              <w:left w:w="95" w:type="dxa"/>
              <w:right w:w="95" w:type="dxa"/>
            </w:tcMar>
            <w:shd w:fill="FFFFFF"/>
          </w:tcPr>
          <w:p>
            <w:pPr>
              <w:pStyle w:val="TableText"/>
              <w:keepNext w:val="0"/>
              <w:keepLines/>
            </w:pPr>
            <w:r>
              <w:rPr>
                <w:sz w:val="20"/>
              </w:rPr>
              <w:t>Cultivation tools</w:t>
            </w:r>
          </w:p>
        </w:tc>
        <w:tc>
          <w:tcPr>
            <w:tcW w:type="dxa" w:w="3226"/>
            <w:vAlign w:val="center"/>
            <w:tcMar>
              <w:top w:w="85" w:type="dxa"/>
              <w:bottom w:w="85" w:type="dxa"/>
              <w:left w:w="95" w:type="dxa"/>
              <w:right w:w="95" w:type="dxa"/>
            </w:tcMar>
            <w:shd w:fill="FFFFFF"/>
          </w:tcPr>
          <w:p>
            <w:pPr>
              <w:pStyle w:val="TableText"/>
              <w:keepNext w:val="0"/>
              <w:keepLines/>
            </w:pPr>
            <w:r>
              <w:rPr>
                <w:sz w:val="20"/>
              </w:rPr>
              <w:t>Establish controlled underground growth</w:t>
            </w:r>
          </w:p>
        </w:tc>
        <w:tc>
          <w:tcPr>
            <w:tcW w:type="dxa" w:w="3226"/>
            <w:vAlign w:val="center"/>
            <w:tcMar>
              <w:top w:w="85" w:type="dxa"/>
              <w:bottom w:w="85" w:type="dxa"/>
              <w:left w:w="95" w:type="dxa"/>
              <w:right w:w="95" w:type="dxa"/>
            </w:tcMar>
            <w:shd w:fill="FFFFFF"/>
          </w:tcPr>
          <w:p>
            <w:pPr>
              <w:pStyle w:val="TableText"/>
              <w:keepNext w:val="0"/>
              <w:keepLines/>
            </w:pPr>
            <w:r>
              <w:rPr>
                <w:sz w:val="20"/>
              </w:rPr>
              <w:t>Hand tools, prepared bed, and a healthy sample.</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EQ18</w:t>
            </w:r>
          </w:p>
        </w:tc>
        <w:tc>
          <w:tcPr>
            <w:tcW w:type="dxa" w:w="2621"/>
            <w:vAlign w:val="center"/>
            <w:tcMar>
              <w:top w:w="85" w:type="dxa"/>
              <w:bottom w:w="85" w:type="dxa"/>
              <w:left w:w="95" w:type="dxa"/>
              <w:right w:w="95" w:type="dxa"/>
            </w:tcMar>
            <w:shd w:fill="F3F5F6"/>
          </w:tcPr>
          <w:p>
            <w:pPr>
              <w:pStyle w:val="TableText"/>
              <w:keepNext w:val="0"/>
              <w:keepLines/>
            </w:pPr>
            <w:r>
              <w:rPr>
                <w:sz w:val="20"/>
              </w:rPr>
              <w:t>Portable pump</w:t>
            </w:r>
          </w:p>
        </w:tc>
        <w:tc>
          <w:tcPr>
            <w:tcW w:type="dxa" w:w="3226"/>
            <w:vAlign w:val="center"/>
            <w:tcMar>
              <w:top w:w="85" w:type="dxa"/>
              <w:bottom w:w="85" w:type="dxa"/>
              <w:left w:w="95" w:type="dxa"/>
              <w:right w:w="95" w:type="dxa"/>
            </w:tcMar>
            <w:shd w:fill="F3F5F6"/>
          </w:tcPr>
          <w:p>
            <w:pPr>
              <w:pStyle w:val="TableText"/>
              <w:keepNext w:val="0"/>
              <w:keepLines/>
            </w:pPr>
            <w:r>
              <w:rPr>
                <w:sz w:val="20"/>
              </w:rPr>
              <w:t>Clear or control a bounded water problem</w:t>
            </w:r>
          </w:p>
        </w:tc>
        <w:tc>
          <w:tcPr>
            <w:tcW w:type="dxa" w:w="3226"/>
            <w:vAlign w:val="center"/>
            <w:tcMar>
              <w:top w:w="85" w:type="dxa"/>
              <w:bottom w:w="85" w:type="dxa"/>
              <w:left w:w="95" w:type="dxa"/>
              <w:right w:w="95" w:type="dxa"/>
            </w:tcMar>
            <w:shd w:fill="F3F5F6"/>
          </w:tcPr>
          <w:p>
            <w:pPr>
              <w:pStyle w:val="TableText"/>
              <w:keepNext w:val="0"/>
              <w:keepLines/>
            </w:pPr>
            <w:r>
              <w:rPr>
                <w:sz w:val="20"/>
              </w:rPr>
              <w:t>Intake, outlet, hose route, and powered installation.</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EQ19</w:t>
            </w:r>
          </w:p>
        </w:tc>
        <w:tc>
          <w:tcPr>
            <w:tcW w:type="dxa" w:w="2621"/>
            <w:vAlign w:val="center"/>
            <w:tcMar>
              <w:top w:w="85" w:type="dxa"/>
              <w:bottom w:w="85" w:type="dxa"/>
              <w:left w:w="95" w:type="dxa"/>
              <w:right w:w="95" w:type="dxa"/>
            </w:tcMar>
            <w:shd w:fill="FFFFFF"/>
          </w:tcPr>
          <w:p>
            <w:pPr>
              <w:pStyle w:val="TableText"/>
              <w:keepNext w:val="0"/>
              <w:keepLines/>
            </w:pPr>
            <w:r>
              <w:rPr>
                <w:sz w:val="20"/>
              </w:rPr>
              <w:t>Field battery</w:t>
            </w:r>
          </w:p>
        </w:tc>
        <w:tc>
          <w:tcPr>
            <w:tcW w:type="dxa" w:w="3226"/>
            <w:vAlign w:val="center"/>
            <w:tcMar>
              <w:top w:w="85" w:type="dxa"/>
              <w:bottom w:w="85" w:type="dxa"/>
              <w:left w:w="95" w:type="dxa"/>
              <w:right w:w="95" w:type="dxa"/>
            </w:tcMar>
            <w:shd w:fill="FFFFFF"/>
          </w:tcPr>
          <w:p>
            <w:pPr>
              <w:pStyle w:val="TableText"/>
              <w:keepNext w:val="0"/>
              <w:keepLines/>
            </w:pPr>
            <w:r>
              <w:rPr>
                <w:sz w:val="20"/>
              </w:rPr>
              <w:t>Support portable equipment</w:t>
            </w:r>
          </w:p>
        </w:tc>
        <w:tc>
          <w:tcPr>
            <w:tcW w:type="dxa" w:w="3226"/>
            <w:vAlign w:val="center"/>
            <w:tcMar>
              <w:top w:w="85" w:type="dxa"/>
              <w:bottom w:w="85" w:type="dxa"/>
              <w:left w:w="95" w:type="dxa"/>
              <w:right w:w="95" w:type="dxa"/>
            </w:tcMar>
            <w:shd w:fill="FFFFFF"/>
          </w:tcPr>
          <w:p>
            <w:pPr>
              <w:pStyle w:val="TableText"/>
              <w:keepNext w:val="0"/>
              <w:keepLines/>
            </w:pPr>
            <w:r>
              <w:rPr>
                <w:sz w:val="20"/>
              </w:rPr>
              <w:t>Connector language, charge indicator, transport state.</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EQ20</w:t>
            </w:r>
          </w:p>
        </w:tc>
        <w:tc>
          <w:tcPr>
            <w:tcW w:type="dxa" w:w="2621"/>
            <w:vAlign w:val="center"/>
            <w:tcMar>
              <w:top w:w="85" w:type="dxa"/>
              <w:bottom w:w="85" w:type="dxa"/>
              <w:left w:w="95" w:type="dxa"/>
              <w:right w:w="95" w:type="dxa"/>
            </w:tcMar>
            <w:shd w:fill="F3F5F6"/>
          </w:tcPr>
          <w:p>
            <w:pPr>
              <w:pStyle w:val="TableText"/>
              <w:keepNext w:val="0"/>
              <w:keepLines/>
            </w:pPr>
            <w:r>
              <w:rPr>
                <w:sz w:val="20"/>
              </w:rPr>
              <w:t>Filtered work mask</w:t>
            </w:r>
          </w:p>
        </w:tc>
        <w:tc>
          <w:tcPr>
            <w:tcW w:type="dxa" w:w="3226"/>
            <w:vAlign w:val="center"/>
            <w:tcMar>
              <w:top w:w="85" w:type="dxa"/>
              <w:bottom w:w="85" w:type="dxa"/>
              <w:left w:w="95" w:type="dxa"/>
              <w:right w:w="95" w:type="dxa"/>
            </w:tcMar>
            <w:shd w:fill="F3F5F6"/>
          </w:tcPr>
          <w:p>
            <w:pPr>
              <w:pStyle w:val="TableText"/>
              <w:keepNext w:val="0"/>
              <w:keepLines/>
            </w:pPr>
            <w:r>
              <w:rPr>
                <w:sz w:val="20"/>
              </w:rPr>
              <w:t>Enter a specifically signaled airborne hazard</w:t>
            </w:r>
          </w:p>
        </w:tc>
        <w:tc>
          <w:tcPr>
            <w:tcW w:type="dxa" w:w="3226"/>
            <w:vAlign w:val="center"/>
            <w:tcMar>
              <w:top w:w="85" w:type="dxa"/>
              <w:bottom w:w="85" w:type="dxa"/>
              <w:left w:w="95" w:type="dxa"/>
              <w:right w:w="95" w:type="dxa"/>
            </w:tcMar>
            <w:shd w:fill="F3F5F6"/>
          </w:tcPr>
          <w:p>
            <w:pPr>
              <w:pStyle w:val="TableText"/>
              <w:keepNext w:val="0"/>
              <w:keepLines/>
            </w:pPr>
            <w:r>
              <w:rPr>
                <w:sz w:val="20"/>
              </w:rPr>
              <w:t>Worn fit, replaceable filter, and readable condition indicator.</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EQ21</w:t>
            </w:r>
          </w:p>
        </w:tc>
        <w:tc>
          <w:tcPr>
            <w:tcW w:type="dxa" w:w="2621"/>
            <w:vAlign w:val="center"/>
            <w:tcMar>
              <w:top w:w="85" w:type="dxa"/>
              <w:bottom w:w="85" w:type="dxa"/>
              <w:left w:w="95" w:type="dxa"/>
              <w:right w:w="95" w:type="dxa"/>
            </w:tcMar>
            <w:shd w:fill="FFFFFF"/>
          </w:tcPr>
          <w:p>
            <w:pPr>
              <w:pStyle w:val="TableText"/>
              <w:keepNext w:val="0"/>
              <w:keepLines/>
            </w:pPr>
            <w:r>
              <w:rPr>
                <w:sz w:val="20"/>
              </w:rPr>
              <w:t>Thermal expedition suit</w:t>
            </w:r>
          </w:p>
        </w:tc>
        <w:tc>
          <w:tcPr>
            <w:tcW w:type="dxa" w:w="3226"/>
            <w:vAlign w:val="center"/>
            <w:tcMar>
              <w:top w:w="85" w:type="dxa"/>
              <w:bottom w:w="85" w:type="dxa"/>
              <w:left w:w="95" w:type="dxa"/>
              <w:right w:w="95" w:type="dxa"/>
            </w:tcMar>
            <w:shd w:fill="FFFFFF"/>
          </w:tcPr>
          <w:p>
            <w:pPr>
              <w:pStyle w:val="TableText"/>
              <w:keepNext w:val="0"/>
              <w:keepLines/>
            </w:pPr>
            <w:r>
              <w:rPr>
                <w:sz w:val="20"/>
              </w:rPr>
              <w:t>Extend time in hot or cold regions</w:t>
            </w:r>
          </w:p>
        </w:tc>
        <w:tc>
          <w:tcPr>
            <w:tcW w:type="dxa" w:w="3226"/>
            <w:vAlign w:val="center"/>
            <w:tcMar>
              <w:top w:w="85" w:type="dxa"/>
              <w:bottom w:w="85" w:type="dxa"/>
              <w:left w:w="95" w:type="dxa"/>
              <w:right w:w="95" w:type="dxa"/>
            </w:tcMar>
            <w:shd w:fill="FFFFFF"/>
          </w:tcPr>
          <w:p>
            <w:pPr>
              <w:pStyle w:val="TableText"/>
              <w:keepNext w:val="0"/>
              <w:keepLines/>
            </w:pPr>
            <w:r>
              <w:rPr>
                <w:sz w:val="20"/>
              </w:rPr>
              <w:t>Worn silhouette, insulated joints, cooling or heating module.</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EQ22</w:t>
            </w:r>
          </w:p>
        </w:tc>
        <w:tc>
          <w:tcPr>
            <w:tcW w:type="dxa" w:w="2621"/>
            <w:vAlign w:val="center"/>
            <w:tcMar>
              <w:top w:w="85" w:type="dxa"/>
              <w:bottom w:w="85" w:type="dxa"/>
              <w:left w:w="95" w:type="dxa"/>
              <w:right w:w="95" w:type="dxa"/>
            </w:tcMar>
            <w:shd w:fill="F3F5F6"/>
          </w:tcPr>
          <w:p>
            <w:pPr>
              <w:pStyle w:val="TableText"/>
              <w:keepNext w:val="0"/>
              <w:keepLines/>
            </w:pPr>
            <w:r>
              <w:rPr>
                <w:sz w:val="20"/>
              </w:rPr>
              <w:t>Ceramic heat shield</w:t>
            </w:r>
          </w:p>
        </w:tc>
        <w:tc>
          <w:tcPr>
            <w:tcW w:type="dxa" w:w="3226"/>
            <w:vAlign w:val="center"/>
            <w:tcMar>
              <w:top w:w="85" w:type="dxa"/>
              <w:bottom w:w="85" w:type="dxa"/>
              <w:left w:w="95" w:type="dxa"/>
              <w:right w:w="95" w:type="dxa"/>
            </w:tcMar>
            <w:shd w:fill="F3F5F6"/>
          </w:tcPr>
          <w:p>
            <w:pPr>
              <w:pStyle w:val="TableText"/>
              <w:keepNext w:val="0"/>
              <w:keepLines/>
            </w:pPr>
            <w:r>
              <w:rPr>
                <w:sz w:val="20"/>
              </w:rPr>
              <w:t>Support a short controlled hot-zone crossing</w:t>
            </w:r>
          </w:p>
        </w:tc>
        <w:tc>
          <w:tcPr>
            <w:tcW w:type="dxa" w:w="3226"/>
            <w:vAlign w:val="center"/>
            <w:tcMar>
              <w:top w:w="85" w:type="dxa"/>
              <w:bottom w:w="85" w:type="dxa"/>
              <w:left w:w="95" w:type="dxa"/>
              <w:right w:w="95" w:type="dxa"/>
            </w:tcMar>
            <w:shd w:fill="F3F5F6"/>
          </w:tcPr>
          <w:p>
            <w:pPr>
              <w:pStyle w:val="TableText"/>
              <w:keepNext w:val="0"/>
              <w:keepLines/>
            </w:pPr>
            <w:r>
              <w:rPr>
                <w:sz w:val="20"/>
              </w:rPr>
              <w:t>Surface pattern, carry position, interaction with a route.</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EQ23</w:t>
            </w:r>
          </w:p>
        </w:tc>
        <w:tc>
          <w:tcPr>
            <w:tcW w:type="dxa" w:w="2621"/>
            <w:vAlign w:val="center"/>
            <w:tcMar>
              <w:top w:w="85" w:type="dxa"/>
              <w:bottom w:w="85" w:type="dxa"/>
              <w:left w:w="95" w:type="dxa"/>
              <w:right w:w="95" w:type="dxa"/>
            </w:tcMar>
            <w:shd w:fill="FFFFFF"/>
          </w:tcPr>
          <w:p>
            <w:pPr>
              <w:pStyle w:val="TableText"/>
              <w:keepNext w:val="0"/>
              <w:keepLines/>
            </w:pPr>
            <w:r>
              <w:rPr>
                <w:sz w:val="20"/>
              </w:rPr>
              <w:t>Sealed expedition suit</w:t>
            </w:r>
          </w:p>
        </w:tc>
        <w:tc>
          <w:tcPr>
            <w:tcW w:type="dxa" w:w="3226"/>
            <w:vAlign w:val="center"/>
            <w:tcMar>
              <w:top w:w="85" w:type="dxa"/>
              <w:bottom w:w="85" w:type="dxa"/>
              <w:left w:w="95" w:type="dxa"/>
              <w:right w:w="95" w:type="dxa"/>
            </w:tcMar>
            <w:shd w:fill="FFFFFF"/>
          </w:tcPr>
          <w:p>
            <w:pPr>
              <w:pStyle w:val="TableText"/>
              <w:keepNext w:val="0"/>
              <w:keepLines/>
            </w:pPr>
            <w:r>
              <w:rPr>
                <w:sz w:val="20"/>
              </w:rPr>
              <w:t>Support extravehicular planetary exploration</w:t>
            </w:r>
          </w:p>
        </w:tc>
        <w:tc>
          <w:tcPr>
            <w:tcW w:type="dxa" w:w="3226"/>
            <w:vAlign w:val="center"/>
            <w:tcMar>
              <w:top w:w="85" w:type="dxa"/>
              <w:bottom w:w="85" w:type="dxa"/>
              <w:left w:w="95" w:type="dxa"/>
              <w:right w:w="95" w:type="dxa"/>
            </w:tcMar>
            <w:shd w:fill="FFFFFF"/>
          </w:tcPr>
          <w:p>
            <w:pPr>
              <w:pStyle w:val="TableText"/>
              <w:keepNext w:val="0"/>
              <w:keepLines/>
            </w:pPr>
            <w:r>
              <w:rPr>
                <w:sz w:val="20"/>
              </w:rPr>
              <w:t>Front, rear, helmet, gloves, boots, and tank connection.</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EQ24</w:t>
            </w:r>
          </w:p>
        </w:tc>
        <w:tc>
          <w:tcPr>
            <w:tcW w:type="dxa" w:w="2621"/>
            <w:vAlign w:val="center"/>
            <w:tcMar>
              <w:top w:w="85" w:type="dxa"/>
              <w:bottom w:w="85" w:type="dxa"/>
              <w:left w:w="95" w:type="dxa"/>
              <w:right w:w="95" w:type="dxa"/>
            </w:tcMar>
            <w:shd w:fill="F3F5F6"/>
          </w:tcPr>
          <w:p>
            <w:pPr>
              <w:pStyle w:val="TableText"/>
              <w:keepNext w:val="0"/>
              <w:keepLines/>
            </w:pPr>
            <w:r>
              <w:rPr>
                <w:sz w:val="20"/>
              </w:rPr>
              <w:t>Breathing supply</w:t>
            </w:r>
          </w:p>
        </w:tc>
        <w:tc>
          <w:tcPr>
            <w:tcW w:type="dxa" w:w="3226"/>
            <w:vAlign w:val="center"/>
            <w:tcMar>
              <w:top w:w="85" w:type="dxa"/>
              <w:bottom w:w="85" w:type="dxa"/>
              <w:left w:w="95" w:type="dxa"/>
              <w:right w:w="95" w:type="dxa"/>
            </w:tcMar>
            <w:shd w:fill="F3F5F6"/>
          </w:tcPr>
          <w:p>
            <w:pPr>
              <w:pStyle w:val="TableText"/>
              <w:keepNext w:val="0"/>
              <w:keepLines/>
            </w:pPr>
            <w:r>
              <w:rPr>
                <w:sz w:val="20"/>
              </w:rPr>
              <w:t>Provide a clear reserve and refill system</w:t>
            </w:r>
          </w:p>
        </w:tc>
        <w:tc>
          <w:tcPr>
            <w:tcW w:type="dxa" w:w="3226"/>
            <w:vAlign w:val="center"/>
            <w:tcMar>
              <w:top w:w="85" w:type="dxa"/>
              <w:bottom w:w="85" w:type="dxa"/>
              <w:left w:w="95" w:type="dxa"/>
              <w:right w:w="95" w:type="dxa"/>
            </w:tcMar>
            <w:shd w:fill="F3F5F6"/>
          </w:tcPr>
          <w:p>
            <w:pPr>
              <w:pStyle w:val="TableText"/>
              <w:keepNext w:val="0"/>
              <w:keepLines/>
            </w:pPr>
            <w:r>
              <w:rPr>
                <w:sz w:val="20"/>
              </w:rPr>
              <w:t>Tank, portable refill connection, and mounted version.</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EQ25</w:t>
            </w:r>
          </w:p>
        </w:tc>
        <w:tc>
          <w:tcPr>
            <w:tcW w:type="dxa" w:w="2621"/>
            <w:vAlign w:val="center"/>
            <w:tcMar>
              <w:top w:w="85" w:type="dxa"/>
              <w:bottom w:w="85" w:type="dxa"/>
              <w:left w:w="95" w:type="dxa"/>
              <w:right w:w="95" w:type="dxa"/>
            </w:tcMar>
            <w:shd w:fill="FFFFFF"/>
          </w:tcPr>
          <w:p>
            <w:pPr>
              <w:pStyle w:val="TableText"/>
              <w:keepNext w:val="0"/>
              <w:keepLines/>
            </w:pPr>
            <w:r>
              <w:rPr>
                <w:sz w:val="20"/>
              </w:rPr>
              <w:t>Shelter kit</w:t>
            </w:r>
          </w:p>
        </w:tc>
        <w:tc>
          <w:tcPr>
            <w:tcW w:type="dxa" w:w="3226"/>
            <w:vAlign w:val="center"/>
            <w:tcMar>
              <w:top w:w="85" w:type="dxa"/>
              <w:bottom w:w="85" w:type="dxa"/>
              <w:left w:w="95" w:type="dxa"/>
              <w:right w:w="95" w:type="dxa"/>
            </w:tcMar>
            <w:shd w:fill="FFFFFF"/>
          </w:tcPr>
          <w:p>
            <w:pPr>
              <w:pStyle w:val="TableText"/>
              <w:keepNext w:val="0"/>
              <w:keepLines/>
            </w:pPr>
            <w:r>
              <w:rPr>
                <w:sz w:val="20"/>
              </w:rPr>
              <w:t>Establish a reliable small expedition refuge</w:t>
            </w:r>
          </w:p>
        </w:tc>
        <w:tc>
          <w:tcPr>
            <w:tcW w:type="dxa" w:w="3226"/>
            <w:vAlign w:val="center"/>
            <w:tcMar>
              <w:top w:w="85" w:type="dxa"/>
              <w:bottom w:w="85" w:type="dxa"/>
              <w:left w:w="95" w:type="dxa"/>
              <w:right w:w="95" w:type="dxa"/>
            </w:tcMar>
            <w:shd w:fill="FFFFFF"/>
          </w:tcPr>
          <w:p>
            <w:pPr>
              <w:pStyle w:val="TableText"/>
              <w:keepNext w:val="0"/>
              <w:keepLines/>
            </w:pPr>
            <w:r>
              <w:rPr>
                <w:sz w:val="20"/>
              </w:rPr>
              <w:t>Packed cargo, assembly stages, interior, and entrance.</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EQ26</w:t>
            </w:r>
          </w:p>
        </w:tc>
        <w:tc>
          <w:tcPr>
            <w:tcW w:type="dxa" w:w="2621"/>
            <w:vAlign w:val="center"/>
            <w:tcMar>
              <w:top w:w="85" w:type="dxa"/>
              <w:bottom w:w="85" w:type="dxa"/>
              <w:left w:w="95" w:type="dxa"/>
              <w:right w:w="95" w:type="dxa"/>
            </w:tcMar>
            <w:shd w:fill="F3F5F6"/>
          </w:tcPr>
          <w:p>
            <w:pPr>
              <w:pStyle w:val="TableText"/>
              <w:keepNext w:val="0"/>
              <w:keepLines/>
            </w:pPr>
            <w:r>
              <w:rPr>
                <w:sz w:val="20"/>
              </w:rPr>
              <w:t>Communications beacon</w:t>
            </w:r>
          </w:p>
        </w:tc>
        <w:tc>
          <w:tcPr>
            <w:tcW w:type="dxa" w:w="3226"/>
            <w:vAlign w:val="center"/>
            <w:tcMar>
              <w:top w:w="85" w:type="dxa"/>
              <w:bottom w:w="85" w:type="dxa"/>
              <w:left w:w="95" w:type="dxa"/>
              <w:right w:w="95" w:type="dxa"/>
            </w:tcMar>
            <w:shd w:fill="F3F5F6"/>
          </w:tcPr>
          <w:p>
            <w:pPr>
              <w:pStyle w:val="TableText"/>
              <w:keepNext w:val="0"/>
              <w:keepLines/>
            </w:pPr>
            <w:r>
              <w:rPr>
                <w:sz w:val="20"/>
              </w:rPr>
              <w:t>Record a site, coordinate return, and support planetary recovery mode</w:t>
            </w:r>
          </w:p>
        </w:tc>
        <w:tc>
          <w:tcPr>
            <w:tcW w:type="dxa" w:w="3226"/>
            <w:vAlign w:val="center"/>
            <w:tcMar>
              <w:top w:w="85" w:type="dxa"/>
              <w:bottom w:w="85" w:type="dxa"/>
              <w:left w:w="95" w:type="dxa"/>
              <w:right w:w="95" w:type="dxa"/>
            </w:tcMar>
            <w:shd w:fill="F3F5F6"/>
          </w:tcPr>
          <w:p>
            <w:pPr>
              <w:pStyle w:val="TableText"/>
              <w:keepNext w:val="0"/>
              <w:keepLines/>
            </w:pPr>
            <w:r>
              <w:rPr>
                <w:sz w:val="20"/>
              </w:rPr>
              <w:t>Deployed beacon, recovery mode, indicators, map association.</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EQ27</w:t>
            </w:r>
          </w:p>
        </w:tc>
        <w:tc>
          <w:tcPr>
            <w:tcW w:type="dxa" w:w="2621"/>
            <w:vAlign w:val="center"/>
            <w:tcMar>
              <w:top w:w="85" w:type="dxa"/>
              <w:bottom w:w="85" w:type="dxa"/>
              <w:left w:w="95" w:type="dxa"/>
              <w:right w:w="95" w:type="dxa"/>
            </w:tcMar>
            <w:shd w:fill="FFFFFF"/>
          </w:tcPr>
          <w:p>
            <w:pPr>
              <w:pStyle w:val="TableText"/>
              <w:keepNext w:val="0"/>
              <w:keepLines/>
            </w:pPr>
            <w:r>
              <w:rPr>
                <w:sz w:val="20"/>
              </w:rPr>
              <w:t>Repair and patch kit</w:t>
            </w:r>
          </w:p>
        </w:tc>
        <w:tc>
          <w:tcPr>
            <w:tcW w:type="dxa" w:w="3226"/>
            <w:vAlign w:val="center"/>
            <w:tcMar>
              <w:top w:w="85" w:type="dxa"/>
              <w:bottom w:w="85" w:type="dxa"/>
              <w:left w:w="95" w:type="dxa"/>
              <w:right w:w="95" w:type="dxa"/>
            </w:tcMar>
            <w:shd w:fill="FFFFFF"/>
          </w:tcPr>
          <w:p>
            <w:pPr>
              <w:pStyle w:val="TableText"/>
              <w:keepNext w:val="0"/>
              <w:keepLines/>
            </w:pPr>
            <w:r>
              <w:rPr>
                <w:sz w:val="20"/>
              </w:rPr>
              <w:t>Recover from a limited equipment fault</w:t>
            </w:r>
          </w:p>
        </w:tc>
        <w:tc>
          <w:tcPr>
            <w:tcW w:type="dxa" w:w="3226"/>
            <w:vAlign w:val="center"/>
            <w:tcMar>
              <w:top w:w="85" w:type="dxa"/>
              <w:bottom w:w="85" w:type="dxa"/>
              <w:left w:w="95" w:type="dxa"/>
              <w:right w:w="95" w:type="dxa"/>
            </w:tcMar>
            <w:shd w:fill="FFFFFF"/>
          </w:tcPr>
          <w:p>
            <w:pPr>
              <w:pStyle w:val="TableText"/>
              <w:keepNext w:val="0"/>
              <w:keepLines/>
            </w:pPr>
            <w:r>
              <w:rPr>
                <w:sz w:val="20"/>
              </w:rPr>
              <w:t>Contents, distinct material uses, and practical repair scene.</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EQ28</w:t>
            </w:r>
          </w:p>
        </w:tc>
        <w:tc>
          <w:tcPr>
            <w:tcW w:type="dxa" w:w="2621"/>
            <w:vAlign w:val="center"/>
            <w:tcMar>
              <w:top w:w="85" w:type="dxa"/>
              <w:bottom w:w="85" w:type="dxa"/>
              <w:left w:w="95" w:type="dxa"/>
              <w:right w:w="95" w:type="dxa"/>
            </w:tcMar>
            <w:shd w:fill="F3F5F6"/>
          </w:tcPr>
          <w:p>
            <w:pPr>
              <w:pStyle w:val="TableText"/>
              <w:keepNext w:val="0"/>
              <w:keepLines/>
            </w:pPr>
            <w:r>
              <w:rPr>
                <w:sz w:val="20"/>
              </w:rPr>
              <w:t>Aquatic survey kit</w:t>
            </w:r>
          </w:p>
        </w:tc>
        <w:tc>
          <w:tcPr>
            <w:tcW w:type="dxa" w:w="3226"/>
            <w:vAlign w:val="center"/>
            <w:tcMar>
              <w:top w:w="85" w:type="dxa"/>
              <w:bottom w:w="85" w:type="dxa"/>
              <w:left w:w="95" w:type="dxa"/>
              <w:right w:w="95" w:type="dxa"/>
            </w:tcMar>
            <w:shd w:fill="F3F5F6"/>
          </w:tcPr>
          <w:p>
            <w:pPr>
              <w:pStyle w:val="TableText"/>
              <w:keepNext w:val="0"/>
              <w:keepLines/>
            </w:pPr>
            <w:r>
              <w:rPr>
                <w:sz w:val="20"/>
              </w:rPr>
              <w:t>Explore an approved underwater route</w:t>
            </w:r>
          </w:p>
        </w:tc>
        <w:tc>
          <w:tcPr>
            <w:tcW w:type="dxa" w:w="3226"/>
            <w:vAlign w:val="center"/>
            <w:tcMar>
              <w:top w:w="85" w:type="dxa"/>
              <w:bottom w:w="85" w:type="dxa"/>
              <w:left w:w="95" w:type="dxa"/>
              <w:right w:w="95" w:type="dxa"/>
            </w:tcMar>
            <w:shd w:fill="F3F5F6"/>
          </w:tcPr>
          <w:p>
            <w:pPr>
              <w:pStyle w:val="TableText"/>
              <w:keepNext w:val="0"/>
              <w:keepLines/>
            </w:pPr>
            <w:r>
              <w:rPr>
                <w:sz w:val="20"/>
              </w:rPr>
              <w:t>Mask or helmet module, tether, light, and sample storage.</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EQ29</w:t>
            </w:r>
          </w:p>
        </w:tc>
        <w:tc>
          <w:tcPr>
            <w:tcW w:type="dxa" w:w="2621"/>
            <w:vAlign w:val="center"/>
            <w:tcMar>
              <w:top w:w="85" w:type="dxa"/>
              <w:bottom w:w="85" w:type="dxa"/>
              <w:left w:w="95" w:type="dxa"/>
              <w:right w:w="95" w:type="dxa"/>
            </w:tcMar>
            <w:shd w:fill="FFFFFF"/>
          </w:tcPr>
          <w:p>
            <w:pPr>
              <w:pStyle w:val="TableText"/>
              <w:keepNext w:val="0"/>
              <w:keepLines/>
            </w:pPr>
            <w:r>
              <w:rPr>
                <w:sz w:val="20"/>
              </w:rPr>
              <w:t>Radiation shielding module</w:t>
            </w:r>
          </w:p>
        </w:tc>
        <w:tc>
          <w:tcPr>
            <w:tcW w:type="dxa" w:w="3226"/>
            <w:vAlign w:val="center"/>
            <w:tcMar>
              <w:top w:w="85" w:type="dxa"/>
              <w:bottom w:w="85" w:type="dxa"/>
              <w:left w:w="95" w:type="dxa"/>
              <w:right w:w="95" w:type="dxa"/>
            </w:tcMar>
            <w:shd w:fill="FFFFFF"/>
          </w:tcPr>
          <w:p>
            <w:pPr>
              <w:pStyle w:val="TableText"/>
              <w:keepNext w:val="0"/>
              <w:keepLines/>
            </w:pPr>
            <w:r>
              <w:rPr>
                <w:sz w:val="20"/>
              </w:rPr>
              <w:t>Prepare for specified planetary exposure</w:t>
            </w:r>
          </w:p>
        </w:tc>
        <w:tc>
          <w:tcPr>
            <w:tcW w:type="dxa" w:w="3226"/>
            <w:vAlign w:val="center"/>
            <w:tcMar>
              <w:top w:w="85" w:type="dxa"/>
              <w:bottom w:w="85" w:type="dxa"/>
              <w:left w:w="95" w:type="dxa"/>
              <w:right w:w="95" w:type="dxa"/>
            </w:tcMar>
            <w:shd w:fill="FFFFFF"/>
          </w:tcPr>
          <w:p>
            <w:pPr>
              <w:pStyle w:val="TableText"/>
              <w:keepNext w:val="0"/>
              <w:keepLines/>
            </w:pPr>
            <w:r>
              <w:rPr>
                <w:sz w:val="20"/>
              </w:rPr>
              <w:t>Worn or installed module and protected refuge relationship.</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EQ30</w:t>
            </w:r>
          </w:p>
        </w:tc>
        <w:tc>
          <w:tcPr>
            <w:tcW w:type="dxa" w:w="2621"/>
            <w:vAlign w:val="center"/>
            <w:tcMar>
              <w:top w:w="85" w:type="dxa"/>
              <w:bottom w:w="85" w:type="dxa"/>
              <w:left w:w="95" w:type="dxa"/>
              <w:right w:w="95" w:type="dxa"/>
            </w:tcMar>
            <w:shd w:fill="F3F5F6"/>
          </w:tcPr>
          <w:p>
            <w:pPr>
              <w:pStyle w:val="TableText"/>
              <w:keepNext w:val="0"/>
              <w:keepLines/>
            </w:pPr>
            <w:r>
              <w:rPr>
                <w:sz w:val="20"/>
              </w:rPr>
              <w:t>Resonance reader</w:t>
            </w:r>
          </w:p>
        </w:tc>
        <w:tc>
          <w:tcPr>
            <w:tcW w:type="dxa" w:w="3226"/>
            <w:vAlign w:val="center"/>
            <w:tcMar>
              <w:top w:w="85" w:type="dxa"/>
              <w:bottom w:w="85" w:type="dxa"/>
              <w:left w:w="95" w:type="dxa"/>
              <w:right w:w="95" w:type="dxa"/>
            </w:tcMar>
            <w:shd w:fill="F3F5F6"/>
          </w:tcPr>
          <w:p>
            <w:pPr>
              <w:pStyle w:val="TableText"/>
              <w:keepNext w:val="0"/>
              <w:keepLines/>
            </w:pPr>
            <w:r>
              <w:rPr>
                <w:sz w:val="20"/>
              </w:rPr>
              <w:t>Interpret a defined family of deep traces</w:t>
            </w:r>
          </w:p>
        </w:tc>
        <w:tc>
          <w:tcPr>
            <w:tcW w:type="dxa" w:w="3226"/>
            <w:vAlign w:val="center"/>
            <w:tcMar>
              <w:top w:w="85" w:type="dxa"/>
              <w:bottom w:w="85" w:type="dxa"/>
              <w:left w:w="95" w:type="dxa"/>
              <w:right w:w="95" w:type="dxa"/>
            </w:tcMar>
            <w:shd w:fill="F3F5F6"/>
          </w:tcPr>
          <w:p>
            <w:pPr>
              <w:pStyle w:val="TableText"/>
              <w:keepNext w:val="0"/>
              <w:keepLines/>
            </w:pPr>
            <w:r>
              <w:rPr>
                <w:sz w:val="20"/>
              </w:rPr>
              <w:t>Probe, display, and interaction with an unusual formation.</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EQ31</w:t>
            </w:r>
          </w:p>
        </w:tc>
        <w:tc>
          <w:tcPr>
            <w:tcW w:type="dxa" w:w="2621"/>
            <w:vAlign w:val="center"/>
            <w:tcMar>
              <w:top w:w="85" w:type="dxa"/>
              <w:bottom w:w="85" w:type="dxa"/>
              <w:left w:w="95" w:type="dxa"/>
              <w:right w:w="95" w:type="dxa"/>
            </w:tcMar>
            <w:shd w:fill="FFFFFF"/>
          </w:tcPr>
          <w:p>
            <w:pPr>
              <w:pStyle w:val="TableText"/>
              <w:keepNext w:val="0"/>
              <w:keepLines/>
            </w:pPr>
            <w:r>
              <w:rPr>
                <w:sz w:val="20"/>
              </w:rPr>
              <w:t>Cargo sled or field cart</w:t>
            </w:r>
          </w:p>
        </w:tc>
        <w:tc>
          <w:tcPr>
            <w:tcW w:type="dxa" w:w="3226"/>
            <w:vAlign w:val="center"/>
            <w:tcMar>
              <w:top w:w="85" w:type="dxa"/>
              <w:bottom w:w="85" w:type="dxa"/>
              <w:left w:w="95" w:type="dxa"/>
              <w:right w:w="95" w:type="dxa"/>
            </w:tcMar>
            <w:shd w:fill="FFFFFF"/>
          </w:tcPr>
          <w:p>
            <w:pPr>
              <w:pStyle w:val="TableText"/>
              <w:keepNext w:val="0"/>
              <w:keepLines/>
            </w:pPr>
            <w:r>
              <w:rPr>
                <w:sz w:val="20"/>
              </w:rPr>
              <w:t>Move supplies along a suitable route</w:t>
            </w:r>
          </w:p>
        </w:tc>
        <w:tc>
          <w:tcPr>
            <w:tcW w:type="dxa" w:w="3226"/>
            <w:vAlign w:val="center"/>
            <w:tcMar>
              <w:top w:w="85" w:type="dxa"/>
              <w:bottom w:w="85" w:type="dxa"/>
              <w:left w:w="95" w:type="dxa"/>
              <w:right w:w="95" w:type="dxa"/>
            </w:tcMar>
            <w:shd w:fill="FFFFFF"/>
          </w:tcPr>
          <w:p>
            <w:pPr>
              <w:pStyle w:val="TableText"/>
              <w:keepNext w:val="0"/>
              <w:keepLines/>
            </w:pPr>
            <w:r>
              <w:rPr>
                <w:sz w:val="20"/>
              </w:rPr>
              <w:t>Empty and loaded forms, hitch, route context.</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EQ32</w:t>
            </w:r>
          </w:p>
        </w:tc>
        <w:tc>
          <w:tcPr>
            <w:tcW w:type="dxa" w:w="2621"/>
            <w:vAlign w:val="center"/>
            <w:tcMar>
              <w:top w:w="85" w:type="dxa"/>
              <w:bottom w:w="85" w:type="dxa"/>
              <w:left w:w="95" w:type="dxa"/>
              <w:right w:w="95" w:type="dxa"/>
            </w:tcMar>
            <w:shd w:fill="F3F5F6"/>
          </w:tcPr>
          <w:p>
            <w:pPr>
              <w:pStyle w:val="TableText"/>
              <w:keepNext w:val="0"/>
              <w:keepLines/>
            </w:pPr>
            <w:r>
              <w:rPr>
                <w:sz w:val="20"/>
              </w:rPr>
              <w:t>Expedition cutting tool</w:t>
            </w:r>
          </w:p>
        </w:tc>
        <w:tc>
          <w:tcPr>
            <w:tcW w:type="dxa" w:w="3226"/>
            <w:vAlign w:val="center"/>
            <w:tcMar>
              <w:top w:w="85" w:type="dxa"/>
              <w:bottom w:w="85" w:type="dxa"/>
              <w:left w:w="95" w:type="dxa"/>
              <w:right w:w="95" w:type="dxa"/>
            </w:tcMar>
            <w:shd w:fill="F3F5F6"/>
          </w:tcPr>
          <w:p>
            <w:pPr>
              <w:pStyle w:val="TableText"/>
              <w:keepNext w:val="0"/>
              <w:keepLines/>
            </w:pPr>
            <w:r>
              <w:rPr>
                <w:sz w:val="20"/>
              </w:rPr>
              <w:t>Clear vegetation and utility obstacles</w:t>
            </w:r>
          </w:p>
        </w:tc>
        <w:tc>
          <w:tcPr>
            <w:tcW w:type="dxa" w:w="3226"/>
            <w:vAlign w:val="center"/>
            <w:tcMar>
              <w:top w:w="85" w:type="dxa"/>
              <w:bottom w:w="85" w:type="dxa"/>
              <w:left w:w="95" w:type="dxa"/>
              <w:right w:w="95" w:type="dxa"/>
            </w:tcMar>
            <w:shd w:fill="F3F5F6"/>
          </w:tcPr>
          <w:p>
            <w:pPr>
              <w:pStyle w:val="TableText"/>
              <w:keepNext w:val="0"/>
              <w:keepLines/>
            </w:pPr>
            <w:r>
              <w:rPr>
                <w:sz w:val="20"/>
              </w:rPr>
              <w:t>Held silhouette and practical utility use.</w:t>
            </w:r>
          </w:p>
        </w:tc>
      </w:tr>
    </w:tbl>
    <w:p>
      <w:pPr>
        <w:spacing w:after="0" w:before="0" w:line="60" w:lineRule="exact"/>
      </w:pPr>
      <w:r>
        <w:rPr>
          <w:sz w:val="6"/>
        </w:rPr>
      </w:r>
    </w:p>
    <w:p>
      <w:pPr/>
      <w:r>
        <w:t>The equipment register is a set of visual and functional families. It should not produce a separate inventory item for every pictured variant unless that variant changes a meaningful choice. Material skins, installed modules, and upgraded components can share a stable equipment identity.</w:t>
      </w:r>
    </w:p>
    <w:p>
      <w:pPr>
        <w:pStyle w:val="Heading2"/>
      </w:pPr>
      <w:r>
        <w:t>Combat equipment and the role of fighting</w:t>
      </w:r>
    </w:p>
    <w:p>
      <w:pPr/>
      <w:r>
        <w:t>Combat should support the environments and existing Minecraft feel. Familiar melee weapons, shields, and ranged tools provide an approachable baseline. Specialist equipment can improve control in a particular situation: a reliable shield against a charging creature, a light source that reveals movement, or a utility tool that clears a retreat.</w:t>
      </w:r>
    </w:p>
    <w:p>
      <w:pPr/>
      <w:r>
        <w:t>New weapons should earn their complexity through a distinct action. A heavy weapon might trade speed for interruption, while a compact expedition weapon leaves room for other equipment. The initial direction should avoid many weapons that differ only by damage numbers or a long mandatory succession of fantasy metals.</w:t>
      </w:r>
    </w:p>
    <w:p>
      <w:pPr/>
      <w:r>
        <w:t>Hostile encounters should have a readable territory or behavior. Combat is one way to solve certain situations, but navigation, timing, barriers, light, or noise can create alternatives. Essential resources should not routinely require exterminating every living thing in a biome.</w:t>
      </w:r>
    </w:p>
    <w:p>
      <w:pPr/>
      <w:r>
        <w:t>Major encounters are strongest when they conclude a local situation: restoring a machine while avoiding its active hazards, securing a route occupied by a territorial creature, or navigating a hazardous chamber to retrieve an instrument. A large health bar alone does not create a memorable chapter.</w:t>
      </w:r>
    </w:p>
    <w:p>
      <w:pPr>
        <w:pStyle w:val="Heading2"/>
      </w:pPr>
      <w:r>
        <w:t>Loadouts and preparation as a clear decision</w:t>
      </w:r>
    </w:p>
    <w:p>
      <w:pPr/>
      <w:r>
        <w:t>The preparation screen should start with the chosen destination and known hazards. It then shows the relevant carried equipment, reserves, and cargo capacity. Missing essentials are explicit. Optional improvements remain visibly optional. Players can save a preferred loadout and replenish it from authorized settlement supplies.</w:t>
      </w:r>
    </w:p>
    <w:p>
      <w:pPr/>
      <w:r>
        <w:t>A first Deepwilds trip might emphasize light, filters, sample containers, and a return line. A Mantle margin trip adds heat protection and a conservative reserve. A lunar surface trip needs a sealed suit, breathing supply, navigation, and a dependable shelter or return to the cabin. These loadouts should feel different without becoming separate games.</w:t>
      </w:r>
    </w:p>
    <w:p>
      <w:pPr/>
      <w:r>
        <w:t>Preparation should support informed risk. A player can intentionally carry less or take a difficult route, but the game must distinguish that decision from an unclear interface. The default product should explain what it knows and what remains uncharted.</w:t>
      </w:r>
    </w:p>
    <w:p>
      <w:bookmarkStart w:id="19" w:name="chapter_19"/>
      <w:pPr>
        <w:pStyle w:val="Heading1"/>
      </w:pPr>
      <w:r>
        <w:t>Production transport and settlement technology</w:t>
      </w:r>
      <w:bookmarkEnd w:id="19"/>
    </w:p>
    <w:p>
      <w:pPr>
        <w:pStyle w:val="Heading2"/>
      </w:pPr>
      <w:r>
        <w:t>Technology grows out of visible work</w:t>
      </w:r>
    </w:p>
    <w:p>
      <w:pPr/>
      <w:r>
        <w:t>Early installations use timber frames, stone, rope, water, and accessible metal fittings. Their function should be readable from their parts. Later workshops introduce steel frames, ceramic insulation, copper connections, glass observation points, and standardized cargo fittings. Planetary systems inherit this language with more sealed joints and modular components.</w:t>
      </w:r>
    </w:p>
    <w:p>
      <w:pPr/>
      <w:r>
        <w:t>Machines should occupy useful places. A kiln belongs near material handling and storage. A pump connects a water problem to a visible outlet. A lift has a clear upper and lower landing. An observatory points toward a view. Their arrangement can make a settlement look productive before the player opens a menu.</w:t>
      </w:r>
    </w:p>
    <w:p>
      <w:pPr/>
      <w:r>
        <w:t>The following installations define creative scope for future projects. They do not all need to exist in an initial content release.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22"/>
        <w:gridCol w:w="2621"/>
        <w:gridCol w:w="3226"/>
        <w:gridCol w:w="3226"/>
      </w:tblGrid>
      <w:tr>
        <w:trPr>
          <w:cantSplit/>
          <w:tblHeader w:val="true"/>
        </w:trPr>
        <w:tc>
          <w:tcPr>
            <w:tcW w:type="dxa" w:w="922"/>
            <w:vAlign w:val="center"/>
            <w:tcMar>
              <w:top w:w="85" w:type="dxa"/>
              <w:bottom w:w="85" w:type="dxa"/>
              <w:left w:w="95" w:type="dxa"/>
              <w:right w:w="95" w:type="dxa"/>
            </w:tcMar>
            <w:shd w:fill="233544"/>
          </w:tcPr>
          <w:p>
            <w:pPr>
              <w:pStyle w:val="TableText"/>
              <w:keepNext w:val="0"/>
              <w:keepLines/>
              <w:jc w:val="center"/>
            </w:pPr>
            <w:r>
              <w:rPr>
                <w:b/>
                <w:color w:val="FFFFFF"/>
                <w:sz w:val="20"/>
              </w:rPr>
              <w:t>ID</w:t>
            </w:r>
          </w:p>
        </w:tc>
        <w:tc>
          <w:tcPr>
            <w:tcW w:type="dxa" w:w="2621"/>
            <w:vAlign w:val="center"/>
            <w:tcMar>
              <w:top w:w="85" w:type="dxa"/>
              <w:bottom w:w="85" w:type="dxa"/>
              <w:left w:w="95" w:type="dxa"/>
              <w:right w:w="95" w:type="dxa"/>
            </w:tcMar>
            <w:shd w:fill="233544"/>
          </w:tcPr>
          <w:p>
            <w:pPr>
              <w:pStyle w:val="TableText"/>
              <w:keepNext w:val="0"/>
              <w:keepLines/>
            </w:pPr>
            <w:r>
              <w:rPr>
                <w:b/>
                <w:color w:val="FFFFFF"/>
                <w:sz w:val="20"/>
              </w:rPr>
              <w:t>Installation</w:t>
            </w:r>
          </w:p>
        </w:tc>
        <w:tc>
          <w:tcPr>
            <w:tcW w:type="dxa" w:w="3226"/>
            <w:vAlign w:val="center"/>
            <w:tcMar>
              <w:top w:w="85" w:type="dxa"/>
              <w:bottom w:w="85" w:type="dxa"/>
              <w:left w:w="95" w:type="dxa"/>
              <w:right w:w="95" w:type="dxa"/>
            </w:tcMar>
            <w:shd w:fill="233544"/>
          </w:tcPr>
          <w:p>
            <w:pPr>
              <w:pStyle w:val="TableText"/>
              <w:keepNext w:val="0"/>
              <w:keepLines/>
            </w:pPr>
            <w:r>
              <w:rPr>
                <w:b/>
                <w:color w:val="FFFFFF"/>
                <w:sz w:val="20"/>
              </w:rPr>
              <w:t>Purpose</w:t>
            </w:r>
          </w:p>
        </w:tc>
        <w:tc>
          <w:tcPr>
            <w:tcW w:type="dxa" w:w="3226"/>
            <w:vAlign w:val="center"/>
            <w:tcMar>
              <w:top w:w="85" w:type="dxa"/>
              <w:bottom w:w="85" w:type="dxa"/>
              <w:left w:w="95" w:type="dxa"/>
              <w:right w:w="95" w:type="dxa"/>
            </w:tcMar>
            <w:shd w:fill="233544"/>
          </w:tcPr>
          <w:p>
            <w:pPr>
              <w:pStyle w:val="TableText"/>
              <w:keepNext w:val="0"/>
              <w:keepLines/>
            </w:pPr>
            <w:r>
              <w:rPr>
                <w:b/>
                <w:color w:val="FFFFFF"/>
                <w:sz w:val="20"/>
              </w:rPr>
              <w:t>Visible changes as it becomes useful</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TEC01</w:t>
            </w:r>
          </w:p>
        </w:tc>
        <w:tc>
          <w:tcPr>
            <w:tcW w:type="dxa" w:w="2621"/>
            <w:vAlign w:val="center"/>
            <w:tcMar>
              <w:top w:w="85" w:type="dxa"/>
              <w:bottom w:w="85" w:type="dxa"/>
              <w:left w:w="95" w:type="dxa"/>
              <w:right w:w="95" w:type="dxa"/>
            </w:tcMar>
            <w:shd w:fill="FFFFFF"/>
          </w:tcPr>
          <w:p>
            <w:pPr>
              <w:pStyle w:val="TableText"/>
              <w:keepNext w:val="0"/>
              <w:keepLines/>
            </w:pPr>
            <w:r>
              <w:rPr>
                <w:sz w:val="20"/>
              </w:rPr>
              <w:t>Carpenter and repair bench</w:t>
            </w:r>
          </w:p>
        </w:tc>
        <w:tc>
          <w:tcPr>
            <w:tcW w:type="dxa" w:w="3226"/>
            <w:vAlign w:val="center"/>
            <w:tcMar>
              <w:top w:w="85" w:type="dxa"/>
              <w:bottom w:w="85" w:type="dxa"/>
              <w:left w:w="95" w:type="dxa"/>
              <w:right w:w="95" w:type="dxa"/>
            </w:tcMar>
            <w:shd w:fill="FFFFFF"/>
          </w:tcPr>
          <w:p>
            <w:pPr>
              <w:pStyle w:val="TableText"/>
              <w:keepNext w:val="0"/>
              <w:keepLines/>
            </w:pPr>
            <w:r>
              <w:rPr>
                <w:sz w:val="20"/>
              </w:rPr>
              <w:t>Maintain ordinary tools and produce structural parts</w:t>
            </w:r>
          </w:p>
        </w:tc>
        <w:tc>
          <w:tcPr>
            <w:tcW w:type="dxa" w:w="3226"/>
            <w:vAlign w:val="center"/>
            <w:tcMar>
              <w:top w:w="85" w:type="dxa"/>
              <w:bottom w:w="85" w:type="dxa"/>
              <w:left w:w="95" w:type="dxa"/>
              <w:right w:w="95" w:type="dxa"/>
            </w:tcMar>
            <w:shd w:fill="FFFFFF"/>
          </w:tcPr>
          <w:p>
            <w:pPr>
              <w:pStyle w:val="TableText"/>
              <w:keepNext w:val="0"/>
              <w:keepLines/>
            </w:pPr>
            <w:r>
              <w:rPr>
                <w:sz w:val="20"/>
              </w:rPr>
              <w:t>Work surfaces, racks, stored materials, and finished orders.</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TEC02</w:t>
            </w:r>
          </w:p>
        </w:tc>
        <w:tc>
          <w:tcPr>
            <w:tcW w:type="dxa" w:w="2621"/>
            <w:vAlign w:val="center"/>
            <w:tcMar>
              <w:top w:w="85" w:type="dxa"/>
              <w:bottom w:w="85" w:type="dxa"/>
              <w:left w:w="95" w:type="dxa"/>
              <w:right w:w="95" w:type="dxa"/>
            </w:tcMar>
            <w:shd w:fill="F3F5F6"/>
          </w:tcPr>
          <w:p>
            <w:pPr>
              <w:pStyle w:val="TableText"/>
              <w:keepNext w:val="0"/>
              <w:keepLines/>
            </w:pPr>
            <w:r>
              <w:rPr>
                <w:sz w:val="20"/>
              </w:rPr>
              <w:t>Kiln and ceramics station</w:t>
            </w:r>
          </w:p>
        </w:tc>
        <w:tc>
          <w:tcPr>
            <w:tcW w:type="dxa" w:w="3226"/>
            <w:vAlign w:val="center"/>
            <w:tcMar>
              <w:top w:w="85" w:type="dxa"/>
              <w:bottom w:w="85" w:type="dxa"/>
              <w:left w:w="95" w:type="dxa"/>
              <w:right w:w="95" w:type="dxa"/>
            </w:tcMar>
            <w:shd w:fill="F3F5F6"/>
          </w:tcPr>
          <w:p>
            <w:pPr>
              <w:pStyle w:val="TableText"/>
              <w:keepNext w:val="0"/>
              <w:keepLines/>
            </w:pPr>
            <w:r>
              <w:rPr>
                <w:sz w:val="20"/>
              </w:rPr>
              <w:t>Produce durable vessels and insulating parts</w:t>
            </w:r>
          </w:p>
        </w:tc>
        <w:tc>
          <w:tcPr>
            <w:tcW w:type="dxa" w:w="3226"/>
            <w:vAlign w:val="center"/>
            <w:tcMar>
              <w:top w:w="85" w:type="dxa"/>
              <w:bottom w:w="85" w:type="dxa"/>
              <w:left w:w="95" w:type="dxa"/>
              <w:right w:w="95" w:type="dxa"/>
            </w:tcMar>
            <w:shd w:fill="F3F5F6"/>
          </w:tcPr>
          <w:p>
            <w:pPr>
              <w:pStyle w:val="TableText"/>
              <w:keepNext w:val="0"/>
              <w:keepLines/>
            </w:pPr>
            <w:r>
              <w:rPr>
                <w:sz w:val="20"/>
              </w:rPr>
              <w:t>Fuel area, chamber, cooling shelves, and glazed products.</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TEC03</w:t>
            </w:r>
          </w:p>
        </w:tc>
        <w:tc>
          <w:tcPr>
            <w:tcW w:type="dxa" w:w="2621"/>
            <w:vAlign w:val="center"/>
            <w:tcMar>
              <w:top w:w="85" w:type="dxa"/>
              <w:bottom w:w="85" w:type="dxa"/>
              <w:left w:w="95" w:type="dxa"/>
              <w:right w:w="95" w:type="dxa"/>
            </w:tcMar>
            <w:shd w:fill="FFFFFF"/>
          </w:tcPr>
          <w:p>
            <w:pPr>
              <w:pStyle w:val="TableText"/>
              <w:keepNext w:val="0"/>
              <w:keepLines/>
            </w:pPr>
            <w:r>
              <w:rPr>
                <w:sz w:val="20"/>
              </w:rPr>
              <w:t>Smithy and alloy furnace</w:t>
            </w:r>
          </w:p>
        </w:tc>
        <w:tc>
          <w:tcPr>
            <w:tcW w:type="dxa" w:w="3226"/>
            <w:vAlign w:val="center"/>
            <w:tcMar>
              <w:top w:w="85" w:type="dxa"/>
              <w:bottom w:w="85" w:type="dxa"/>
              <w:left w:w="95" w:type="dxa"/>
              <w:right w:w="95" w:type="dxa"/>
            </w:tcMar>
            <w:shd w:fill="FFFFFF"/>
          </w:tcPr>
          <w:p>
            <w:pPr>
              <w:pStyle w:val="TableText"/>
              <w:keepNext w:val="0"/>
              <w:keepLines/>
            </w:pPr>
            <w:r>
              <w:rPr>
                <w:sz w:val="20"/>
              </w:rPr>
              <w:t>Make metal parts and improved equipment</w:t>
            </w:r>
          </w:p>
        </w:tc>
        <w:tc>
          <w:tcPr>
            <w:tcW w:type="dxa" w:w="3226"/>
            <w:vAlign w:val="center"/>
            <w:tcMar>
              <w:top w:w="85" w:type="dxa"/>
              <w:bottom w:w="85" w:type="dxa"/>
              <w:left w:w="95" w:type="dxa"/>
              <w:right w:w="95" w:type="dxa"/>
            </w:tcMar>
            <w:shd w:fill="FFFFFF"/>
          </w:tcPr>
          <w:p>
            <w:pPr>
              <w:pStyle w:val="TableText"/>
              <w:keepNext w:val="0"/>
              <w:keepLines/>
            </w:pPr>
            <w:r>
              <w:rPr>
                <w:sz w:val="20"/>
              </w:rPr>
              <w:t>Charge area, furnace, work surface, and standardized stock.</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TEC04</w:t>
            </w:r>
          </w:p>
        </w:tc>
        <w:tc>
          <w:tcPr>
            <w:tcW w:type="dxa" w:w="2621"/>
            <w:vAlign w:val="center"/>
            <w:tcMar>
              <w:top w:w="85" w:type="dxa"/>
              <w:bottom w:w="85" w:type="dxa"/>
              <w:left w:w="95" w:type="dxa"/>
              <w:right w:w="95" w:type="dxa"/>
            </w:tcMar>
            <w:shd w:fill="F3F5F6"/>
          </w:tcPr>
          <w:p>
            <w:pPr>
              <w:pStyle w:val="TableText"/>
              <w:keepNext w:val="0"/>
              <w:keepLines/>
            </w:pPr>
            <w:r>
              <w:rPr>
                <w:sz w:val="20"/>
              </w:rPr>
              <w:t>Textile and seal workshop</w:t>
            </w:r>
          </w:p>
        </w:tc>
        <w:tc>
          <w:tcPr>
            <w:tcW w:type="dxa" w:w="3226"/>
            <w:vAlign w:val="center"/>
            <w:tcMar>
              <w:top w:w="85" w:type="dxa"/>
              <w:bottom w:w="85" w:type="dxa"/>
              <w:left w:w="95" w:type="dxa"/>
              <w:right w:w="95" w:type="dxa"/>
            </w:tcMar>
            <w:shd w:fill="F3F5F6"/>
          </w:tcPr>
          <w:p>
            <w:pPr>
              <w:pStyle w:val="TableText"/>
              <w:keepNext w:val="0"/>
              <w:keepLines/>
            </w:pPr>
            <w:r>
              <w:rPr>
                <w:sz w:val="20"/>
              </w:rPr>
              <w:t>Produce filters, cloth, bags, and flexible seals</w:t>
            </w:r>
          </w:p>
        </w:tc>
        <w:tc>
          <w:tcPr>
            <w:tcW w:type="dxa" w:w="3226"/>
            <w:vAlign w:val="center"/>
            <w:tcMar>
              <w:top w:w="85" w:type="dxa"/>
              <w:bottom w:w="85" w:type="dxa"/>
              <w:left w:w="95" w:type="dxa"/>
              <w:right w:w="95" w:type="dxa"/>
            </w:tcMar>
            <w:shd w:fill="F3F5F6"/>
          </w:tcPr>
          <w:p>
            <w:pPr>
              <w:pStyle w:val="TableText"/>
              <w:keepNext w:val="0"/>
              <w:keepLines/>
            </w:pPr>
            <w:r>
              <w:rPr>
                <w:sz w:val="20"/>
              </w:rPr>
              <w:t>Fiber storage, drying racks, work tables, and finished bundles.</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TEC05</w:t>
            </w:r>
          </w:p>
        </w:tc>
        <w:tc>
          <w:tcPr>
            <w:tcW w:type="dxa" w:w="2621"/>
            <w:vAlign w:val="center"/>
            <w:tcMar>
              <w:top w:w="85" w:type="dxa"/>
              <w:bottom w:w="85" w:type="dxa"/>
              <w:left w:w="95" w:type="dxa"/>
              <w:right w:w="95" w:type="dxa"/>
            </w:tcMar>
            <w:shd w:fill="FFFFFF"/>
          </w:tcPr>
          <w:p>
            <w:pPr>
              <w:pStyle w:val="TableText"/>
              <w:keepNext w:val="0"/>
              <w:keepLines/>
            </w:pPr>
            <w:r>
              <w:rPr>
                <w:sz w:val="20"/>
              </w:rPr>
              <w:t>Cultivation house</w:t>
            </w:r>
          </w:p>
        </w:tc>
        <w:tc>
          <w:tcPr>
            <w:tcW w:type="dxa" w:w="3226"/>
            <w:vAlign w:val="center"/>
            <w:tcMar>
              <w:top w:w="85" w:type="dxa"/>
              <w:bottom w:w="85" w:type="dxa"/>
              <w:left w:w="95" w:type="dxa"/>
              <w:right w:w="95" w:type="dxa"/>
            </w:tcMar>
            <w:shd w:fill="FFFFFF"/>
          </w:tcPr>
          <w:p>
            <w:pPr>
              <w:pStyle w:val="TableText"/>
              <w:keepNext w:val="0"/>
              <w:keepLines/>
            </w:pPr>
            <w:r>
              <w:rPr>
                <w:sz w:val="20"/>
              </w:rPr>
              <w:t>Grow food and useful biological materials</w:t>
            </w:r>
          </w:p>
        </w:tc>
        <w:tc>
          <w:tcPr>
            <w:tcW w:type="dxa" w:w="3226"/>
            <w:vAlign w:val="center"/>
            <w:tcMar>
              <w:top w:w="85" w:type="dxa"/>
              <w:bottom w:w="85" w:type="dxa"/>
              <w:left w:w="95" w:type="dxa"/>
              <w:right w:w="95" w:type="dxa"/>
            </w:tcMar>
            <w:shd w:fill="FFFFFF"/>
          </w:tcPr>
          <w:p>
            <w:pPr>
              <w:pStyle w:val="TableText"/>
              <w:keepNext w:val="0"/>
              <w:keepLines/>
            </w:pPr>
            <w:r>
              <w:rPr>
                <w:sz w:val="20"/>
              </w:rPr>
              <w:t>Prepared beds, moisture control, mature crops, and sample records.</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TEC06</w:t>
            </w:r>
          </w:p>
        </w:tc>
        <w:tc>
          <w:tcPr>
            <w:tcW w:type="dxa" w:w="2621"/>
            <w:vAlign w:val="center"/>
            <w:tcMar>
              <w:top w:w="85" w:type="dxa"/>
              <w:bottom w:w="85" w:type="dxa"/>
              <w:left w:w="95" w:type="dxa"/>
              <w:right w:w="95" w:type="dxa"/>
            </w:tcMar>
            <w:shd w:fill="F3F5F6"/>
          </w:tcPr>
          <w:p>
            <w:pPr>
              <w:pStyle w:val="TableText"/>
              <w:keepNext w:val="0"/>
              <w:keepLines/>
            </w:pPr>
            <w:r>
              <w:rPr>
                <w:sz w:val="20"/>
              </w:rPr>
              <w:t>Pump and water station</w:t>
            </w:r>
          </w:p>
        </w:tc>
        <w:tc>
          <w:tcPr>
            <w:tcW w:type="dxa" w:w="3226"/>
            <w:vAlign w:val="center"/>
            <w:tcMar>
              <w:top w:w="85" w:type="dxa"/>
              <w:bottom w:w="85" w:type="dxa"/>
              <w:left w:w="95" w:type="dxa"/>
              <w:right w:w="95" w:type="dxa"/>
            </w:tcMar>
            <w:shd w:fill="F3F5F6"/>
          </w:tcPr>
          <w:p>
            <w:pPr>
              <w:pStyle w:val="TableText"/>
              <w:keepNext w:val="0"/>
              <w:keepLines/>
            </w:pPr>
            <w:r>
              <w:rPr>
                <w:sz w:val="20"/>
              </w:rPr>
              <w:t>Support bounded drainage and reliable local water</w:t>
            </w:r>
          </w:p>
        </w:tc>
        <w:tc>
          <w:tcPr>
            <w:tcW w:type="dxa" w:w="3226"/>
            <w:vAlign w:val="center"/>
            <w:tcMar>
              <w:top w:w="85" w:type="dxa"/>
              <w:bottom w:w="85" w:type="dxa"/>
              <w:left w:w="95" w:type="dxa"/>
              <w:right w:w="95" w:type="dxa"/>
            </w:tcMar>
            <w:shd w:fill="F3F5F6"/>
          </w:tcPr>
          <w:p>
            <w:pPr>
              <w:pStyle w:val="TableText"/>
              <w:keepNext w:val="0"/>
              <w:keepLines/>
            </w:pPr>
            <w:r>
              <w:rPr>
                <w:sz w:val="20"/>
              </w:rPr>
              <w:t>Intake, pipes, service path, outlet, and maintenance access.</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TEC07</w:t>
            </w:r>
          </w:p>
        </w:tc>
        <w:tc>
          <w:tcPr>
            <w:tcW w:type="dxa" w:w="2621"/>
            <w:vAlign w:val="center"/>
            <w:tcMar>
              <w:top w:w="85" w:type="dxa"/>
              <w:bottom w:w="85" w:type="dxa"/>
              <w:left w:w="95" w:type="dxa"/>
              <w:right w:w="95" w:type="dxa"/>
            </w:tcMar>
            <w:shd w:fill="FFFFFF"/>
          </w:tcPr>
          <w:p>
            <w:pPr>
              <w:pStyle w:val="TableText"/>
              <w:keepNext w:val="0"/>
              <w:keepLines/>
            </w:pPr>
            <w:r>
              <w:rPr>
                <w:sz w:val="20"/>
              </w:rPr>
              <w:t>Power workshop</w:t>
            </w:r>
          </w:p>
        </w:tc>
        <w:tc>
          <w:tcPr>
            <w:tcW w:type="dxa" w:w="3226"/>
            <w:vAlign w:val="center"/>
            <w:tcMar>
              <w:top w:w="85" w:type="dxa"/>
              <w:bottom w:w="85" w:type="dxa"/>
              <w:left w:w="95" w:type="dxa"/>
              <w:right w:w="95" w:type="dxa"/>
            </w:tcMar>
            <w:shd w:fill="FFFFFF"/>
          </w:tcPr>
          <w:p>
            <w:pPr>
              <w:pStyle w:val="TableText"/>
              <w:keepNext w:val="0"/>
              <w:keepLines/>
            </w:pPr>
            <w:r>
              <w:rPr>
                <w:sz w:val="20"/>
              </w:rPr>
              <w:t>Support electrical processes and field charging</w:t>
            </w:r>
          </w:p>
        </w:tc>
        <w:tc>
          <w:tcPr>
            <w:tcW w:type="dxa" w:w="3226"/>
            <w:vAlign w:val="center"/>
            <w:tcMar>
              <w:top w:w="85" w:type="dxa"/>
              <w:bottom w:w="85" w:type="dxa"/>
              <w:left w:w="95" w:type="dxa"/>
              <w:right w:w="95" w:type="dxa"/>
            </w:tcMar>
            <w:shd w:fill="FFFFFF"/>
          </w:tcPr>
          <w:p>
            <w:pPr>
              <w:pStyle w:val="TableText"/>
              <w:keepNext w:val="0"/>
              <w:keepLines/>
            </w:pPr>
            <w:r>
              <w:rPr>
                <w:sz w:val="20"/>
              </w:rPr>
              <w:t>Generator or source connection, storage, visible distribution, and shutoff.</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TEC08</w:t>
            </w:r>
          </w:p>
        </w:tc>
        <w:tc>
          <w:tcPr>
            <w:tcW w:type="dxa" w:w="2621"/>
            <w:vAlign w:val="center"/>
            <w:tcMar>
              <w:top w:w="85" w:type="dxa"/>
              <w:bottom w:w="85" w:type="dxa"/>
              <w:left w:w="95" w:type="dxa"/>
              <w:right w:w="95" w:type="dxa"/>
            </w:tcMar>
            <w:shd w:fill="F3F5F6"/>
          </w:tcPr>
          <w:p>
            <w:pPr>
              <w:pStyle w:val="TableText"/>
              <w:keepNext w:val="0"/>
              <w:keepLines/>
            </w:pPr>
            <w:r>
              <w:rPr>
                <w:sz w:val="20"/>
              </w:rPr>
              <w:t>Refinery and materials lab</w:t>
            </w:r>
          </w:p>
        </w:tc>
        <w:tc>
          <w:tcPr>
            <w:tcW w:type="dxa" w:w="3226"/>
            <w:vAlign w:val="center"/>
            <w:tcMar>
              <w:top w:w="85" w:type="dxa"/>
              <w:bottom w:w="85" w:type="dxa"/>
              <w:left w:w="95" w:type="dxa"/>
              <w:right w:w="95" w:type="dxa"/>
            </w:tcMar>
            <w:shd w:fill="F3F5F6"/>
          </w:tcPr>
          <w:p>
            <w:pPr>
              <w:pStyle w:val="TableText"/>
              <w:keepNext w:val="0"/>
              <w:keepLines/>
            </w:pPr>
            <w:r>
              <w:rPr>
                <w:sz w:val="20"/>
              </w:rPr>
              <w:t>Process advanced materials and examine finds</w:t>
            </w:r>
          </w:p>
        </w:tc>
        <w:tc>
          <w:tcPr>
            <w:tcW w:type="dxa" w:w="3226"/>
            <w:vAlign w:val="center"/>
            <w:tcMar>
              <w:top w:w="85" w:type="dxa"/>
              <w:bottom w:w="85" w:type="dxa"/>
              <w:left w:w="95" w:type="dxa"/>
              <w:right w:w="95" w:type="dxa"/>
            </w:tcMar>
            <w:shd w:fill="F3F5F6"/>
          </w:tcPr>
          <w:p>
            <w:pPr>
              <w:pStyle w:val="TableText"/>
              <w:keepNext w:val="0"/>
              <w:keepLines/>
            </w:pPr>
            <w:r>
              <w:rPr>
                <w:sz w:val="20"/>
              </w:rPr>
              <w:t>Input bins, process stations, sample windows, and product storage.</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TEC09</w:t>
            </w:r>
          </w:p>
        </w:tc>
        <w:tc>
          <w:tcPr>
            <w:tcW w:type="dxa" w:w="2621"/>
            <w:vAlign w:val="center"/>
            <w:tcMar>
              <w:top w:w="85" w:type="dxa"/>
              <w:bottom w:w="85" w:type="dxa"/>
              <w:left w:w="95" w:type="dxa"/>
              <w:right w:w="95" w:type="dxa"/>
            </w:tcMar>
            <w:shd w:fill="FFFFFF"/>
          </w:tcPr>
          <w:p>
            <w:pPr>
              <w:pStyle w:val="TableText"/>
              <w:keepNext w:val="0"/>
              <w:keepLines/>
            </w:pPr>
            <w:r>
              <w:rPr>
                <w:sz w:val="20"/>
              </w:rPr>
              <w:t>Survey office and observatory</w:t>
            </w:r>
          </w:p>
        </w:tc>
        <w:tc>
          <w:tcPr>
            <w:tcW w:type="dxa" w:w="3226"/>
            <w:vAlign w:val="center"/>
            <w:tcMar>
              <w:top w:w="85" w:type="dxa"/>
              <w:bottom w:w="85" w:type="dxa"/>
              <w:left w:w="95" w:type="dxa"/>
              <w:right w:w="95" w:type="dxa"/>
            </w:tcMar>
            <w:shd w:fill="FFFFFF"/>
          </w:tcPr>
          <w:p>
            <w:pPr>
              <w:pStyle w:val="TableText"/>
              <w:keepNext w:val="0"/>
              <w:keepLines/>
            </w:pPr>
            <w:r>
              <w:rPr>
                <w:sz w:val="20"/>
              </w:rPr>
              <w:t>Connect field records to future expeditions</w:t>
            </w:r>
          </w:p>
        </w:tc>
        <w:tc>
          <w:tcPr>
            <w:tcW w:type="dxa" w:w="3226"/>
            <w:vAlign w:val="center"/>
            <w:tcMar>
              <w:top w:w="85" w:type="dxa"/>
              <w:bottom w:w="85" w:type="dxa"/>
              <w:left w:w="95" w:type="dxa"/>
              <w:right w:w="95" w:type="dxa"/>
            </w:tcMar>
            <w:shd w:fill="FFFFFF"/>
          </w:tcPr>
          <w:p>
            <w:pPr>
              <w:pStyle w:val="TableText"/>
              <w:keepNext w:val="0"/>
              <w:keepLines/>
            </w:pPr>
            <w:r>
              <w:rPr>
                <w:sz w:val="20"/>
              </w:rPr>
              <w:t>Map tables, instruments, specimens, and observation equipment.</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TEC10</w:t>
            </w:r>
          </w:p>
        </w:tc>
        <w:tc>
          <w:tcPr>
            <w:tcW w:type="dxa" w:w="2621"/>
            <w:vAlign w:val="center"/>
            <w:tcMar>
              <w:top w:w="85" w:type="dxa"/>
              <w:bottom w:w="85" w:type="dxa"/>
              <w:left w:w="95" w:type="dxa"/>
              <w:right w:w="95" w:type="dxa"/>
            </w:tcMar>
            <w:shd w:fill="F3F5F6"/>
          </w:tcPr>
          <w:p>
            <w:pPr>
              <w:pStyle w:val="TableText"/>
              <w:keepNext w:val="0"/>
              <w:keepLines/>
            </w:pPr>
            <w:r>
              <w:rPr>
                <w:sz w:val="20"/>
              </w:rPr>
              <w:t>Lift and transfer station</w:t>
            </w:r>
          </w:p>
        </w:tc>
        <w:tc>
          <w:tcPr>
            <w:tcW w:type="dxa" w:w="3226"/>
            <w:vAlign w:val="center"/>
            <w:tcMar>
              <w:top w:w="85" w:type="dxa"/>
              <w:bottom w:w="85" w:type="dxa"/>
              <w:left w:w="95" w:type="dxa"/>
              <w:right w:w="95" w:type="dxa"/>
            </w:tcMar>
            <w:shd w:fill="F3F5F6"/>
          </w:tcPr>
          <w:p>
            <w:pPr>
              <w:pStyle w:val="TableText"/>
              <w:keepNext w:val="0"/>
              <w:keepLines/>
            </w:pPr>
            <w:r>
              <w:rPr>
                <w:sz w:val="20"/>
              </w:rPr>
              <w:t>Move players and cargo through a known vertical route</w:t>
            </w:r>
          </w:p>
        </w:tc>
        <w:tc>
          <w:tcPr>
            <w:tcW w:type="dxa" w:w="3226"/>
            <w:vAlign w:val="center"/>
            <w:tcMar>
              <w:top w:w="85" w:type="dxa"/>
              <w:bottom w:w="85" w:type="dxa"/>
              <w:left w:w="95" w:type="dxa"/>
              <w:right w:w="95" w:type="dxa"/>
            </w:tcMar>
            <w:shd w:fill="F3F5F6"/>
          </w:tcPr>
          <w:p>
            <w:pPr>
              <w:pStyle w:val="TableText"/>
              <w:keepNext w:val="0"/>
              <w:keepLines/>
            </w:pPr>
            <w:r>
              <w:rPr>
                <w:sz w:val="20"/>
              </w:rPr>
              <w:t>Landings, hoist, loading areas, and route signage.</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TEC11</w:t>
            </w:r>
          </w:p>
        </w:tc>
        <w:tc>
          <w:tcPr>
            <w:tcW w:type="dxa" w:w="2621"/>
            <w:vAlign w:val="center"/>
            <w:tcMar>
              <w:top w:w="85" w:type="dxa"/>
              <w:bottom w:w="85" w:type="dxa"/>
              <w:left w:w="95" w:type="dxa"/>
              <w:right w:w="95" w:type="dxa"/>
            </w:tcMar>
            <w:shd w:fill="FFFFFF"/>
          </w:tcPr>
          <w:p>
            <w:pPr>
              <w:pStyle w:val="TableText"/>
              <w:keepNext w:val="0"/>
              <w:keepLines/>
            </w:pPr>
            <w:r>
              <w:rPr>
                <w:sz w:val="20"/>
              </w:rPr>
              <w:t>Rail or cart depot</w:t>
            </w:r>
          </w:p>
        </w:tc>
        <w:tc>
          <w:tcPr>
            <w:tcW w:type="dxa" w:w="3226"/>
            <w:vAlign w:val="center"/>
            <w:tcMar>
              <w:top w:w="85" w:type="dxa"/>
              <w:bottom w:w="85" w:type="dxa"/>
              <w:left w:w="95" w:type="dxa"/>
              <w:right w:w="95" w:type="dxa"/>
            </w:tcMar>
            <w:shd w:fill="FFFFFF"/>
          </w:tcPr>
          <w:p>
            <w:pPr>
              <w:pStyle w:val="TableText"/>
              <w:keepNext w:val="0"/>
              <w:keepLines/>
            </w:pPr>
            <w:r>
              <w:rPr>
                <w:sz w:val="20"/>
              </w:rPr>
              <w:t>Organize repeated local transport</w:t>
            </w:r>
          </w:p>
        </w:tc>
        <w:tc>
          <w:tcPr>
            <w:tcW w:type="dxa" w:w="3226"/>
            <w:vAlign w:val="center"/>
            <w:tcMar>
              <w:top w:w="85" w:type="dxa"/>
              <w:bottom w:w="85" w:type="dxa"/>
              <w:left w:w="95" w:type="dxa"/>
              <w:right w:w="95" w:type="dxa"/>
            </w:tcMar>
            <w:shd w:fill="FFFFFF"/>
          </w:tcPr>
          <w:p>
            <w:pPr>
              <w:pStyle w:val="TableText"/>
              <w:keepNext w:val="0"/>
              <w:keepLines/>
            </w:pPr>
            <w:r>
              <w:rPr>
                <w:sz w:val="20"/>
              </w:rPr>
              <w:t>Track or prepared path, loading points, storage, and arrival indicators.</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TEC12</w:t>
            </w:r>
          </w:p>
        </w:tc>
        <w:tc>
          <w:tcPr>
            <w:tcW w:type="dxa" w:w="2621"/>
            <w:vAlign w:val="center"/>
            <w:tcMar>
              <w:top w:w="85" w:type="dxa"/>
              <w:bottom w:w="85" w:type="dxa"/>
              <w:left w:w="95" w:type="dxa"/>
              <w:right w:w="95" w:type="dxa"/>
            </w:tcMar>
            <w:shd w:fill="F3F5F6"/>
          </w:tcPr>
          <w:p>
            <w:pPr>
              <w:pStyle w:val="TableText"/>
              <w:keepNext w:val="0"/>
              <w:keepLines/>
            </w:pPr>
            <w:r>
              <w:rPr>
                <w:sz w:val="20"/>
              </w:rPr>
              <w:t>Habitat and life-support workshop</w:t>
            </w:r>
          </w:p>
        </w:tc>
        <w:tc>
          <w:tcPr>
            <w:tcW w:type="dxa" w:w="3226"/>
            <w:vAlign w:val="center"/>
            <w:tcMar>
              <w:top w:w="85" w:type="dxa"/>
              <w:bottom w:w="85" w:type="dxa"/>
              <w:left w:w="95" w:type="dxa"/>
              <w:right w:w="95" w:type="dxa"/>
            </w:tcMar>
            <w:shd w:fill="F3F5F6"/>
          </w:tcPr>
          <w:p>
            <w:pPr>
              <w:pStyle w:val="TableText"/>
              <w:keepNext w:val="0"/>
              <w:keepLines/>
            </w:pPr>
            <w:r>
              <w:rPr>
                <w:sz w:val="20"/>
              </w:rPr>
              <w:t>Prepare sealed expedition systems</w:t>
            </w:r>
          </w:p>
        </w:tc>
        <w:tc>
          <w:tcPr>
            <w:tcW w:type="dxa" w:w="3226"/>
            <w:vAlign w:val="center"/>
            <w:tcMar>
              <w:top w:w="85" w:type="dxa"/>
              <w:bottom w:w="85" w:type="dxa"/>
              <w:left w:w="95" w:type="dxa"/>
              <w:right w:w="95" w:type="dxa"/>
            </w:tcMar>
            <w:shd w:fill="F3F5F6"/>
          </w:tcPr>
          <w:p>
            <w:pPr>
              <w:pStyle w:val="TableText"/>
              <w:keepNext w:val="0"/>
              <w:keepLines/>
            </w:pPr>
            <w:r>
              <w:rPr>
                <w:sz w:val="20"/>
              </w:rPr>
              <w:t>Tested cabin modules, tanks, refill points, and service connections.</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TEC13</w:t>
            </w:r>
          </w:p>
        </w:tc>
        <w:tc>
          <w:tcPr>
            <w:tcW w:type="dxa" w:w="2621"/>
            <w:vAlign w:val="center"/>
            <w:tcMar>
              <w:top w:w="85" w:type="dxa"/>
              <w:bottom w:w="85" w:type="dxa"/>
              <w:left w:w="95" w:type="dxa"/>
              <w:right w:w="95" w:type="dxa"/>
            </w:tcMar>
            <w:shd w:fill="FFFFFF"/>
          </w:tcPr>
          <w:p>
            <w:pPr>
              <w:pStyle w:val="TableText"/>
              <w:keepNext w:val="0"/>
              <w:keepLines/>
            </w:pPr>
            <w:r>
              <w:rPr>
                <w:sz w:val="20"/>
              </w:rPr>
              <w:t>Vehicle assembly hall</w:t>
            </w:r>
          </w:p>
        </w:tc>
        <w:tc>
          <w:tcPr>
            <w:tcW w:type="dxa" w:w="3226"/>
            <w:vAlign w:val="center"/>
            <w:tcMar>
              <w:top w:w="85" w:type="dxa"/>
              <w:bottom w:w="85" w:type="dxa"/>
              <w:left w:w="95" w:type="dxa"/>
              <w:right w:w="95" w:type="dxa"/>
            </w:tcMar>
            <w:shd w:fill="FFFFFF"/>
          </w:tcPr>
          <w:p>
            <w:pPr>
              <w:pStyle w:val="TableText"/>
              <w:keepNext w:val="0"/>
              <w:keepLines/>
            </w:pPr>
            <w:r>
              <w:rPr>
                <w:sz w:val="20"/>
              </w:rPr>
              <w:t>Build and maintain recognized craft designs</w:t>
            </w:r>
          </w:p>
        </w:tc>
        <w:tc>
          <w:tcPr>
            <w:tcW w:type="dxa" w:w="3226"/>
            <w:vAlign w:val="center"/>
            <w:tcMar>
              <w:top w:w="85" w:type="dxa"/>
              <w:bottom w:w="85" w:type="dxa"/>
              <w:left w:w="95" w:type="dxa"/>
              <w:right w:w="95" w:type="dxa"/>
            </w:tcMar>
            <w:shd w:fill="FFFFFF"/>
          </w:tcPr>
          <w:p>
            <w:pPr>
              <w:pStyle w:val="TableText"/>
              <w:keepNext w:val="0"/>
              <w:keepLines/>
            </w:pPr>
            <w:r>
              <w:rPr>
                <w:sz w:val="20"/>
              </w:rPr>
              <w:t>Jigs, staged hull sections, tools, cargo lanes, and completed craft.</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TEC14</w:t>
            </w:r>
          </w:p>
        </w:tc>
        <w:tc>
          <w:tcPr>
            <w:tcW w:type="dxa" w:w="2621"/>
            <w:vAlign w:val="center"/>
            <w:tcMar>
              <w:top w:w="85" w:type="dxa"/>
              <w:bottom w:w="85" w:type="dxa"/>
              <w:left w:w="95" w:type="dxa"/>
              <w:right w:w="95" w:type="dxa"/>
            </w:tcMar>
            <w:shd w:fill="F3F5F6"/>
          </w:tcPr>
          <w:p>
            <w:pPr>
              <w:pStyle w:val="TableText"/>
              <w:keepNext w:val="0"/>
              <w:keepLines/>
            </w:pPr>
            <w:r>
              <w:rPr>
                <w:sz w:val="20"/>
              </w:rPr>
              <w:t>Launch and recovery complex</w:t>
            </w:r>
          </w:p>
        </w:tc>
        <w:tc>
          <w:tcPr>
            <w:tcW w:type="dxa" w:w="3226"/>
            <w:vAlign w:val="center"/>
            <w:tcMar>
              <w:top w:w="85" w:type="dxa"/>
              <w:bottom w:w="85" w:type="dxa"/>
              <w:left w:w="95" w:type="dxa"/>
              <w:right w:w="95" w:type="dxa"/>
            </w:tcMar>
            <w:shd w:fill="F3F5F6"/>
          </w:tcPr>
          <w:p>
            <w:pPr>
              <w:pStyle w:val="TableText"/>
              <w:keepNext w:val="0"/>
              <w:keepLines/>
            </w:pPr>
            <w:r>
              <w:rPr>
                <w:sz w:val="20"/>
              </w:rPr>
              <w:t>Prepare spacecraft and receive returning expeditions</w:t>
            </w:r>
          </w:p>
        </w:tc>
        <w:tc>
          <w:tcPr>
            <w:tcW w:type="dxa" w:w="3226"/>
            <w:vAlign w:val="center"/>
            <w:tcMar>
              <w:top w:w="85" w:type="dxa"/>
              <w:bottom w:w="85" w:type="dxa"/>
              <w:left w:w="95" w:type="dxa"/>
              <w:right w:w="95" w:type="dxa"/>
            </w:tcMar>
            <w:shd w:fill="F3F5F6"/>
          </w:tcPr>
          <w:p>
            <w:pPr>
              <w:pStyle w:val="TableText"/>
              <w:keepNext w:val="0"/>
              <w:keepLines/>
            </w:pPr>
            <w:r>
              <w:rPr>
                <w:sz w:val="20"/>
              </w:rPr>
              <w:t>Pad, service gantry, supply connections, briefing area, and recovery storage.</w:t>
            </w:r>
          </w:p>
        </w:tc>
      </w:tr>
    </w:tbl>
    <w:p>
      <w:pPr>
        <w:spacing w:after="0" w:before="0" w:line="60" w:lineRule="exact"/>
      </w:pPr>
      <w:r>
        <w:rPr>
          <w:sz w:val="6"/>
        </w:rPr>
      </w:r>
    </w:p>
    <w:p>
      <w:pPr>
        <w:pStyle w:val="Heading2"/>
      </w:pPr>
      <w:r>
        <w:t>Transport should preserve the first journey</w:t>
      </w:r>
    </w:p>
    <w:p>
      <w:pPr/>
      <w:r>
        <w:t>The first trip through a region should involve reading it. A later transport improvement should reward understanding and investment. Lifts, carts, prepared crossings, and surveyed travel links therefore belong at different points in the area's life. A route that becomes convenient still retains places where the player can choose to stop and explore.</w:t>
      </w:r>
    </w:p>
    <w:p>
      <w:pPr/>
      <w:r>
        <w:t>Routine cargo movement can use bounded scheduled transfers between established endpoints. The player authorizes what moves and sees why a transfer is waiting. A transfer reserves already-produced goods at its source. Its finite arrival process progresses when an eligible player activates the receiving region, and completes once. Both endpoints need not be occupied simultaneously. This permission moves reserved cargo; it does not restart remote factories, create goods, or consume new production inputs in an absent region. The design should not simulate a convoy across every unloaded chunk merely to deliver a stack of supplies. Where a visible arrival matters to a scene, it can occur as a controlled event within an active settlement.</w:t>
      </w:r>
    </w:p>
    <w:p>
      <w:pPr/>
      <w:r>
        <w:t>Player travel should remain clear about destination and arrival conditions. A late convenience system can connect already surveyed and secured places. It should not accidentally strand a player at an outpost whose shelter or breathing support has been removed. A destination can be listed as unavailable for routine convenience transport until its required services are restored. A self-sufficient expedition carrying its own survival equipment can still reach a supported landing or approach to repair the damaged outpost.</w:t>
      </w:r>
    </w:p>
    <w:p>
      <w:pPr>
        <w:pStyle w:val="Heading2"/>
      </w:pPr>
      <w:r>
        <w:t>Construction and free building share a visual vocabulary</w:t>
      </w:r>
    </w:p>
    <w:p>
      <w:pPr/>
      <w:r>
        <w:t>Authored buildings supply strong examples of how materials work together. Their palettes should be available to the player. Roofs, beams, railings, windows, floors, lamps, stairs, slabs, and appropriate trims should make it possible to extend a settlement naturally.</w:t>
      </w:r>
    </w:p>
    <w:p>
      <w:pPr/>
      <w:r>
        <w:t>Decorative breadth is most useful when organized into complete building families. A new stone that has a full set of practical construction forms is more valuable than many isolated blocks. Underground and planetary palettes should include enough warm and neutral options for comfortable interiors alongside the more unusual exterior materials.</w:t>
      </w:r>
    </w:p>
    <w:p>
      <w:pPr/>
      <w:r>
        <w:t>Machines and structures also need repairable states. Damage should have a visible local meaning, such as a missing rail section or a failed pump component. Repair restores a known function. Ordinary free-built architecture should not become a maintenance chore unless the player deliberately chooses a mode that adds it.</w:t>
      </w:r>
    </w:p>
    <w:p>
      <w:pPr>
        <w:pStyle w:val="Heading2"/>
      </w:pPr>
      <w:r>
        <w:t>A clear boundary for advanced simulation</w:t>
      </w:r>
    </w:p>
    <w:p>
      <w:pPr/>
      <w:r>
        <w:t>Atmosphere, electrical networks, structural support, ecology, logistics, and NPC routines can each become enormous systems. The recommended product direction uses bounded models wherever those models satisfy the experience. A known habitat module can provide a dependable sealed room. An authored foundation can support a bridge. A managed cultivation bed can support an ecosystem.</w:t>
      </w:r>
    </w:p>
    <w:p>
      <w:pPr/>
      <w:r>
        <w:t>A proposed later commissioning process can recognize a limited supported function in a player-built structure, using a visible boundary and readable checks. Generic shelter, cultivation, and a supported workshop are candidate functions. This does not automatically grant completion credit for a specific authored chapter project. The approach should be proved one function at a time. It is not a promise to simulate pressure, heat, power, load, and biology across every possible block arrangement.</w:t>
      </w:r>
    </w:p>
    <w:p>
      <w:pPr/>
      <w:r>
        <w:t>Complexity should be added when a playable experience needs it. The creative vision remains broad, while individual systems remain understandable enough that a player and a small development team can both reason about what should happen next.</w:t>
      </w:r>
    </w:p>
    <w:p>
      <w:bookmarkStart w:id="20" w:name="chapter_20"/>
      <w:pPr>
        <w:pStyle w:val="Heading1"/>
      </w:pPr>
      <w:r>
        <w:t>Power fuel and the cost of travel</w:t>
      </w:r>
      <w:bookmarkEnd w:id="20"/>
    </w:p>
    <w:p>
      <w:pPr>
        <w:pStyle w:val="Heading2"/>
      </w:pPr>
      <w:r>
        <w:t>A small set of understandable supplies</w:t>
      </w:r>
    </w:p>
    <w:p>
      <w:pPr/>
      <w:r>
        <w:t>The proposed energy system should use a few recognizable supply families. Ordinary heat supports early cooking, kilns, and metalwork. Mechanical power supports the mill and simple hauling. Electrical power supports instruments, pumps, workshops, field equipment, and habitat services. Propellant supports travel. Advanced transit adds a defined late-game navigation and drive capability without turning every machine into a consumer of a new universal crystal.</w:t>
      </w:r>
    </w:p>
    <w:p>
      <w:pPr/>
      <w:r>
        <w:t>Early electrical work can use a small installation assembled from familiar resources. A later settlement power workshop expands storage and distribution. Local generation choices can differ aesthetically and practically across sites, while the equipment connection remains consistent. A player should be able to understand where a machine receives power and why it has stopped.</w:t>
      </w:r>
    </w:p>
    <w:p>
      <w:pPr/>
      <w:r>
        <w:t>Portable devices use serviceable field cells or batteries. Charging replaces repeated crafting of disposable components where that would become tedious. Expedition stations can maintain a bounded reserve and show it in the preparation view. A stored battery does not silently decay during a player's absence under the default direction.</w:t>
      </w:r>
    </w:p>
    <w:p>
      <w:pPr>
        <w:pStyle w:val="Heading2"/>
      </w:pPr>
      <w:r>
        <w:t>Propellant and the first flight</w:t>
      </w:r>
    </w:p>
    <w:p>
      <w:pPr/>
      <w:r>
        <w:t>The first orbital and lunar craft use a standard game propellant manufactured at an Earth preparation installation from accessible feedstocks. The exact fictional recipe and storage scale belong to balancing, but its dependencies must be available before space travel. A lunar mineral, a Mars reagent, or an outer-world sample cannot be required for that first round trip.</w:t>
      </w:r>
    </w:p>
    <w:p>
      <w:pPr/>
      <w:r>
        <w:t>Longer voyages improve efficiency, storage, servicing, and available reserves. They need not add a wholly separate branded fuel for every destination. Established workshops can prepare ordinary propellant, and suitable developed outposts can eventually use local processing alternatives. Optional Ceres or Io discoveries can make selected routes more convenient while leaving the main route viable without them.</w:t>
      </w:r>
    </w:p>
    <w:p>
      <w:pPr/>
      <w:r>
        <w:t>A mission plan states the travel segments, expected operating reserve, and return allocation. Cargo and craft configuration can alter the supported envelope through a small number of understandable budgets. The interface should show the consequence directly when a heavier payload reduces reserve. Exact distances, acceleration, burn calculations, and real chemistry are outside this creative specification.</w:t>
      </w:r>
    </w:p>
    <w:p>
      <w:pPr/>
      <w:r>
        <w:t>The recommended default prevents ordinary crafting and automated processing from consuming a protected return allocation. A player may deliberately revise the mission and reserves through an explicit action with a clear consequence. An unexpected shortage should have a recovery path consistent with the chosen difficulty, rather than permanently maroon the only copy of the campaign.</w:t>
      </w:r>
    </w:p>
    <w:p>
      <w:pPr>
        <w:pStyle w:val="Heading2"/>
      </w:pPr>
      <w:r>
        <w:t>Manufactured supplies and their visual references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296"/>
        <w:gridCol w:w="2246"/>
        <w:gridCol w:w="3226"/>
        <w:gridCol w:w="3226"/>
      </w:tblGrid>
      <w:tr>
        <w:trPr>
          <w:cantSplit/>
          <w:tblHeader w:val="true"/>
        </w:trPr>
        <w:tc>
          <w:tcPr>
            <w:tcW w:type="dxa" w:w="1296"/>
            <w:vAlign w:val="center"/>
            <w:tcMar>
              <w:top w:w="85" w:type="dxa"/>
              <w:bottom w:w="85" w:type="dxa"/>
              <w:left w:w="95" w:type="dxa"/>
              <w:right w:w="95" w:type="dxa"/>
            </w:tcMar>
            <w:shd w:fill="233544"/>
          </w:tcPr>
          <w:p>
            <w:pPr>
              <w:pStyle w:val="TableText"/>
              <w:keepNext w:val="0"/>
              <w:keepLines/>
              <w:jc w:val="center"/>
            </w:pPr>
            <w:r>
              <w:rPr>
                <w:b/>
                <w:color w:val="FFFFFF"/>
                <w:sz w:val="20"/>
              </w:rPr>
              <w:t>ID</w:t>
            </w:r>
          </w:p>
        </w:tc>
        <w:tc>
          <w:tcPr>
            <w:tcW w:type="dxa" w:w="2246"/>
            <w:vAlign w:val="center"/>
            <w:tcMar>
              <w:top w:w="85" w:type="dxa"/>
              <w:bottom w:w="85" w:type="dxa"/>
              <w:left w:w="95" w:type="dxa"/>
              <w:right w:w="95" w:type="dxa"/>
            </w:tcMar>
            <w:shd w:fill="233544"/>
          </w:tcPr>
          <w:p>
            <w:pPr>
              <w:pStyle w:val="TableText"/>
              <w:keepNext w:val="0"/>
              <w:keepLines/>
            </w:pPr>
            <w:r>
              <w:rPr>
                <w:b/>
                <w:color w:val="FFFFFF"/>
                <w:sz w:val="20"/>
              </w:rPr>
              <w:t>Supply or service</w:t>
            </w:r>
          </w:p>
        </w:tc>
        <w:tc>
          <w:tcPr>
            <w:tcW w:type="dxa" w:w="3226"/>
            <w:vAlign w:val="center"/>
            <w:tcMar>
              <w:top w:w="85" w:type="dxa"/>
              <w:bottom w:w="85" w:type="dxa"/>
              <w:left w:w="95" w:type="dxa"/>
              <w:right w:w="95" w:type="dxa"/>
            </w:tcMar>
            <w:shd w:fill="233544"/>
          </w:tcPr>
          <w:p>
            <w:pPr>
              <w:pStyle w:val="TableText"/>
              <w:keepNext w:val="0"/>
              <w:keepLines/>
            </w:pPr>
            <w:r>
              <w:rPr>
                <w:b/>
                <w:color w:val="FFFFFF"/>
                <w:sz w:val="20"/>
              </w:rPr>
              <w:t>First available source</w:t>
            </w:r>
          </w:p>
        </w:tc>
        <w:tc>
          <w:tcPr>
            <w:tcW w:type="dxa" w:w="3226"/>
            <w:vAlign w:val="center"/>
            <w:tcMar>
              <w:top w:w="85" w:type="dxa"/>
              <w:bottom w:w="85" w:type="dxa"/>
              <w:left w:w="95" w:type="dxa"/>
              <w:right w:w="95" w:type="dxa"/>
            </w:tcMar>
            <w:shd w:fill="233544"/>
          </w:tcPr>
          <w:p>
            <w:pPr>
              <w:pStyle w:val="TableText"/>
              <w:keepNext w:val="0"/>
              <w:keepLines/>
            </w:pPr>
            <w:r>
              <w:rPr>
                <w:b/>
                <w:color w:val="FFFFFF"/>
                <w:sz w:val="20"/>
              </w:rPr>
              <w:t>Illustration coverage</w:t>
            </w:r>
          </w:p>
        </w:tc>
      </w:tr>
      <w:tr>
        <w:trPr>
          <w:cantSplit/>
        </w:trPr>
        <w:tc>
          <w:tcPr>
            <w:tcW w:type="dxa" w:w="1296"/>
            <w:vAlign w:val="center"/>
            <w:tcMar>
              <w:top w:w="85" w:type="dxa"/>
              <w:bottom w:w="85" w:type="dxa"/>
              <w:left w:w="95" w:type="dxa"/>
              <w:right w:w="95" w:type="dxa"/>
            </w:tcMar>
            <w:shd w:fill="FFFFFF"/>
          </w:tcPr>
          <w:p>
            <w:pPr>
              <w:pStyle w:val="TableText"/>
              <w:keepNext w:val="0"/>
              <w:keepLines/>
              <w:jc w:val="center"/>
            </w:pPr>
            <w:r>
              <w:rPr>
                <w:sz w:val="20"/>
              </w:rPr>
              <w:t>SUPPLY01</w:t>
            </w:r>
          </w:p>
        </w:tc>
        <w:tc>
          <w:tcPr>
            <w:tcW w:type="dxa" w:w="2246"/>
            <w:vAlign w:val="center"/>
            <w:tcMar>
              <w:top w:w="85" w:type="dxa"/>
              <w:bottom w:w="85" w:type="dxa"/>
              <w:left w:w="95" w:type="dxa"/>
              <w:right w:w="95" w:type="dxa"/>
            </w:tcMar>
            <w:shd w:fill="FFFFFF"/>
          </w:tcPr>
          <w:p>
            <w:pPr>
              <w:pStyle w:val="TableText"/>
              <w:keepNext w:val="0"/>
              <w:keepLines/>
            </w:pPr>
            <w:r>
              <w:rPr>
                <w:sz w:val="20"/>
              </w:rPr>
              <w:t>Standard spacecraft propellant</w:t>
            </w:r>
          </w:p>
        </w:tc>
        <w:tc>
          <w:tcPr>
            <w:tcW w:type="dxa" w:w="3226"/>
            <w:vAlign w:val="center"/>
            <w:tcMar>
              <w:top w:w="85" w:type="dxa"/>
              <w:bottom w:w="85" w:type="dxa"/>
              <w:left w:w="95" w:type="dxa"/>
              <w:right w:w="95" w:type="dxa"/>
            </w:tcMar>
            <w:shd w:fill="FFFFFF"/>
          </w:tcPr>
          <w:p>
            <w:pPr>
              <w:pStyle w:val="TableText"/>
              <w:keepNext w:val="0"/>
              <w:keepLines/>
            </w:pPr>
            <w:r>
              <w:rPr>
                <w:sz w:val="20"/>
              </w:rPr>
              <w:t>Earth preparation installation using accessible feedstocks and established power</w:t>
            </w:r>
          </w:p>
        </w:tc>
        <w:tc>
          <w:tcPr>
            <w:tcW w:type="dxa" w:w="3226"/>
            <w:vAlign w:val="center"/>
            <w:tcMar>
              <w:top w:w="85" w:type="dxa"/>
              <w:bottom w:w="85" w:type="dxa"/>
              <w:left w:w="95" w:type="dxa"/>
              <w:right w:w="95" w:type="dxa"/>
            </w:tcMar>
            <w:shd w:fill="FFFFFF"/>
          </w:tcPr>
          <w:p>
            <w:pPr>
              <w:pStyle w:val="TableText"/>
              <w:keepNext w:val="0"/>
              <w:keepLines/>
            </w:pPr>
            <w:r>
              <w:rPr>
                <w:sz w:val="20"/>
              </w:rPr>
              <w:t>Feedstock handling, sealed transport container, refill connection, protected return allocation.</w:t>
            </w:r>
          </w:p>
        </w:tc>
      </w:tr>
      <w:tr>
        <w:trPr>
          <w:cantSplit/>
        </w:trPr>
        <w:tc>
          <w:tcPr>
            <w:tcW w:type="dxa" w:w="1296"/>
            <w:vAlign w:val="center"/>
            <w:tcMar>
              <w:top w:w="85" w:type="dxa"/>
              <w:bottom w:w="85" w:type="dxa"/>
              <w:left w:w="95" w:type="dxa"/>
              <w:right w:w="95" w:type="dxa"/>
            </w:tcMar>
            <w:shd w:fill="F3F5F6"/>
          </w:tcPr>
          <w:p>
            <w:pPr>
              <w:pStyle w:val="TableText"/>
              <w:keepNext w:val="0"/>
              <w:keepLines/>
              <w:jc w:val="center"/>
            </w:pPr>
            <w:r>
              <w:rPr>
                <w:sz w:val="20"/>
              </w:rPr>
              <w:t>SUPPLY02</w:t>
            </w:r>
          </w:p>
        </w:tc>
        <w:tc>
          <w:tcPr>
            <w:tcW w:type="dxa" w:w="2246"/>
            <w:vAlign w:val="center"/>
            <w:tcMar>
              <w:top w:w="85" w:type="dxa"/>
              <w:bottom w:w="85" w:type="dxa"/>
              <w:left w:w="95" w:type="dxa"/>
              <w:right w:w="95" w:type="dxa"/>
            </w:tcMar>
            <w:shd w:fill="F3F5F6"/>
          </w:tcPr>
          <w:p>
            <w:pPr>
              <w:pStyle w:val="TableText"/>
              <w:keepNext w:val="0"/>
              <w:keepLines/>
            </w:pPr>
            <w:r>
              <w:rPr>
                <w:sz w:val="20"/>
              </w:rPr>
              <w:t>Breathing-supply refill</w:t>
            </w:r>
          </w:p>
        </w:tc>
        <w:tc>
          <w:tcPr>
            <w:tcW w:type="dxa" w:w="3226"/>
            <w:vAlign w:val="center"/>
            <w:tcMar>
              <w:top w:w="85" w:type="dxa"/>
              <w:bottom w:w="85" w:type="dxa"/>
              <w:left w:w="95" w:type="dxa"/>
              <w:right w:w="95" w:type="dxa"/>
            </w:tcMar>
            <w:shd w:fill="F3F5F6"/>
          </w:tcPr>
          <w:p>
            <w:pPr>
              <w:pStyle w:val="TableText"/>
              <w:keepNext w:val="0"/>
              <w:keepLines/>
            </w:pPr>
            <w:r>
              <w:rPr>
                <w:sz w:val="20"/>
              </w:rPr>
              <w:t>Earth habitat workshop with a defined water or atmosphere-processing input</w:t>
            </w:r>
          </w:p>
        </w:tc>
        <w:tc>
          <w:tcPr>
            <w:tcW w:type="dxa" w:w="3226"/>
            <w:vAlign w:val="center"/>
            <w:tcMar>
              <w:top w:w="85" w:type="dxa"/>
              <w:bottom w:w="85" w:type="dxa"/>
              <w:left w:w="95" w:type="dxa"/>
              <w:right w:w="95" w:type="dxa"/>
            </w:tcMar>
            <w:shd w:fill="F3F5F6"/>
          </w:tcPr>
          <w:p>
            <w:pPr>
              <w:pStyle w:val="TableText"/>
              <w:keepNext w:val="0"/>
              <w:keepLines/>
            </w:pPr>
            <w:r>
              <w:rPr>
                <w:sz w:val="20"/>
              </w:rPr>
              <w:t>Processing station, filled tank, suit connection, reserve indicator.</w:t>
            </w:r>
          </w:p>
        </w:tc>
      </w:tr>
      <w:tr>
        <w:trPr>
          <w:cantSplit/>
        </w:trPr>
        <w:tc>
          <w:tcPr>
            <w:tcW w:type="dxa" w:w="1296"/>
            <w:vAlign w:val="center"/>
            <w:tcMar>
              <w:top w:w="85" w:type="dxa"/>
              <w:bottom w:w="85" w:type="dxa"/>
              <w:left w:w="95" w:type="dxa"/>
              <w:right w:w="95" w:type="dxa"/>
            </w:tcMar>
            <w:shd w:fill="FFFFFF"/>
          </w:tcPr>
          <w:p>
            <w:pPr>
              <w:pStyle w:val="TableText"/>
              <w:keepNext w:val="0"/>
              <w:keepLines/>
              <w:jc w:val="center"/>
            </w:pPr>
            <w:r>
              <w:rPr>
                <w:sz w:val="20"/>
              </w:rPr>
              <w:t>SUPPLY03</w:t>
            </w:r>
          </w:p>
        </w:tc>
        <w:tc>
          <w:tcPr>
            <w:tcW w:type="dxa" w:w="2246"/>
            <w:vAlign w:val="center"/>
            <w:tcMar>
              <w:top w:w="85" w:type="dxa"/>
              <w:bottom w:w="85" w:type="dxa"/>
              <w:left w:w="95" w:type="dxa"/>
              <w:right w:w="95" w:type="dxa"/>
            </w:tcMar>
            <w:shd w:fill="FFFFFF"/>
          </w:tcPr>
          <w:p>
            <w:pPr>
              <w:pStyle w:val="TableText"/>
              <w:keepNext w:val="0"/>
              <w:keepLines/>
            </w:pPr>
            <w:r>
              <w:rPr>
                <w:sz w:val="20"/>
              </w:rPr>
              <w:t>Charged field cell</w:t>
            </w:r>
          </w:p>
        </w:tc>
        <w:tc>
          <w:tcPr>
            <w:tcW w:type="dxa" w:w="3226"/>
            <w:vAlign w:val="center"/>
            <w:tcMar>
              <w:top w:w="85" w:type="dxa"/>
              <w:bottom w:w="85" w:type="dxa"/>
              <w:left w:w="95" w:type="dxa"/>
              <w:right w:w="95" w:type="dxa"/>
            </w:tcMar>
            <w:shd w:fill="FFFFFF"/>
          </w:tcPr>
          <w:p>
            <w:pPr>
              <w:pStyle w:val="TableText"/>
              <w:keepNext w:val="0"/>
              <w:keepLines/>
            </w:pPr>
            <w:r>
              <w:rPr>
                <w:sz w:val="20"/>
              </w:rPr>
              <w:t>Earth power workshop before planetary travel</w:t>
            </w:r>
          </w:p>
        </w:tc>
        <w:tc>
          <w:tcPr>
            <w:tcW w:type="dxa" w:w="3226"/>
            <w:vAlign w:val="center"/>
            <w:tcMar>
              <w:top w:w="85" w:type="dxa"/>
              <w:bottom w:w="85" w:type="dxa"/>
              <w:left w:w="95" w:type="dxa"/>
              <w:right w:w="95" w:type="dxa"/>
            </w:tcMar>
            <w:shd w:fill="FFFFFF"/>
          </w:tcPr>
          <w:p>
            <w:pPr>
              <w:pStyle w:val="TableText"/>
              <w:keepNext w:val="0"/>
              <w:keepLines/>
            </w:pPr>
            <w:r>
              <w:rPr>
                <w:sz w:val="20"/>
              </w:rPr>
              <w:t>Uncharged and charged cell, charging rack, installed device.</w:t>
            </w:r>
          </w:p>
        </w:tc>
      </w:tr>
    </w:tbl>
    <w:p>
      <w:pPr>
        <w:spacing w:after="0" w:before="0" w:line="60" w:lineRule="exact"/>
      </w:pPr>
      <w:r>
        <w:rPr>
          <w:sz w:val="6"/>
        </w:rPr>
      </w:r>
    </w:p>
    <w:p>
      <w:pPr/>
      <w:r>
        <w:t>These three families use the same physical forms in storage, mission preparation, and field equipment. Later discoveries can improve their production or storage without making the first departure circular. Refilling breathing supplies is a supported game process with explicit inputs and outputs, not a claim to reproduce real life-support chemistry.</w:t>
      </w:r>
    </w:p>
    <w:p>
      <w:pPr>
        <w:pStyle w:val="Heading2"/>
      </w:pPr>
      <w:r>
        <w:t>Advanced transit and its limits</w:t>
      </w:r>
    </w:p>
    <w:p>
      <w:pPr/>
      <w:r>
        <w:t>The first Interstellar capability combines a mature vessel, independent survival, Pluto navigation data, and a transit system that can be built using previously reachable resources. Its extraordinary operation is game fiction. Cairn's Phase Tine and Palimpsest Plate are later improvements for local instruments and archive work, not prerequisites for reaching Cairn.</w:t>
      </w:r>
    </w:p>
    <w:p>
      <w:pPr/>
      <w:r>
        <w:t>The transit system follows surveyed routes and a small set of understandable operating states. It does not supply free energy to every settlement, teleport arbitrary buildings, or manufacture matter. Its boundaries should remain legible in the story and in the mission display. Expanding the map requires a new discovery or calibrated route rather than an unlimited coordinate field.</w:t>
      </w:r>
    </w:p>
    <w:p>
      <w:pPr/>
      <w:r>
        <w:t>Long travel can be represented by an inhabited passage state, a short authored sequence, or an established-route shortcut. Players can spend time in the cabin when they enjoy it, but a journey should not demand hours of passive waiting. Essential mission events occur when their participants are present and ready under the saved-state rules.</w:t>
      </w:r>
    </w:p>
    <w:p>
      <w:pPr>
        <w:pStyle w:val="Heading2"/>
      </w:pPr>
      <w:r>
        <w:t>Habitats while occupied and while parked</w:t>
      </w:r>
    </w:p>
    <w:p>
      <w:pPr/>
      <w:r>
        <w:t>An occupied habitat needs readable life-support status and a fair warning before any failure. A maintained refuge should not turn into a surprise lethal room because an unrelated production queue consumed its last reserve. Essential services have protected operating allocations and clear priority over optional work.</w:t>
      </w:r>
    </w:p>
    <w:p>
      <w:pPr/>
      <w:r>
        <w:t>A managed habitat with no eligible participating occupants enters the stable parked state. Authored production, visitors, consumption, and events pause coherently. Goods and supplies already present remain recorded. Returning resumes the supported local state instead of calculating an absence penalty. Ordinary Minecraft systems outside the managed habitat retain their normal behavior.</w:t>
      </w:r>
    </w:p>
    <w:p>
      <w:pPr/>
      <w:r>
        <w:t>This creates a practical distinction between an active expedition, a working occupied outpost, and a safely parked destination. It gives energy and preparation a meaningful role during play while allowing the player's network of homes to grow without becoming a real-time maintenance obligation.</w:t>
      </w:r>
    </w:p>
    <w:p>
      <w:bookmarkStart w:id="21" w:name="chapter_21"/>
      <w:pPr>
        <w:pStyle w:val="Heading1"/>
      </w:pPr>
      <w:r>
        <w:t>Space exploration</w:t>
      </w:r>
      <w:bookmarkEnd w:id="21"/>
    </w:p>
    <w:p>
      <w:pPr>
        <w:pStyle w:val="Heading3"/>
      </w:pPr>
      <w:r>
        <w:t>A readable route with optional branches</w:t>
      </w:r>
    </w:p>
    <w:p>
      <w:pPr/>
      <w:r>
        <w:t xml:space="preserve">The recommended principal route is </w:t>
      </w:r>
      <w:r>
        <w:rPr>
          <w:b/>
        </w:rPr>
        <w:t>Earth → Moon → Mars → Europa → Titan → Pluto</w:t>
      </w:r>
      <w:r>
        <w:t xml:space="preserve">. Pluto resolves the first broad Solar System expedition arc. </w:t>
      </w:r>
      <w:r>
        <w:rPr>
          <w:b/>
        </w:rPr>
        <w:t>Ceres</w:t>
      </w:r>
      <w:r>
        <w:t xml:space="preserve"> and </w:t>
      </w:r>
      <w:r>
        <w:rPr>
          <w:b/>
        </w:rPr>
        <w:t>Io</w:t>
      </w:r>
      <w:r>
        <w:t xml:space="preserve"> offer substantial optional expeditions that change the player's industrial and exploration options without becoming mandatory toll booths. </w:t>
      </w:r>
      <w:r>
        <w:rPr>
          <w:b/>
        </w:rPr>
        <w:t>Cairn → Morrow</w:t>
      </w:r>
      <w:r>
        <w:t xml:space="preserve">, in the fictional </w:t>
      </w:r>
      <w:r>
        <w:rPr>
          <w:b/>
        </w:rPr>
        <w:t>Afterlight System</w:t>
      </w:r>
      <w:r>
        <w:t>, forms a proposed Beyond Sol continuation. Reaching it should feel like opening the next frontier, while leaving the player with a satisfying stopping point at Pluto.</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44"/>
        <w:gridCol w:w="2794"/>
        <w:gridCol w:w="2707"/>
        <w:gridCol w:w="2549"/>
      </w:tblGrid>
      <w:tr>
        <w:trPr>
          <w:cantSplit/>
          <w:tblHeader w:val="true"/>
        </w:trPr>
        <w:tc>
          <w:tcPr>
            <w:tcW w:type="dxa" w:w="1944"/>
            <w:vAlign w:val="center"/>
            <w:tcMar>
              <w:top w:w="85" w:type="dxa"/>
              <w:bottom w:w="85" w:type="dxa"/>
              <w:left w:w="95" w:type="dxa"/>
              <w:right w:w="95" w:type="dxa"/>
            </w:tcMar>
            <w:shd w:fill="233544"/>
          </w:tcPr>
          <w:p>
            <w:pPr>
              <w:pStyle w:val="TableText"/>
              <w:keepNext w:val="0"/>
              <w:keepLines/>
              <w:jc w:val="center"/>
            </w:pPr>
            <w:r>
              <w:rPr>
                <w:b/>
                <w:color w:val="FFFFFF"/>
                <w:sz w:val="20"/>
              </w:rPr>
              <w:t>Destination</w:t>
            </w:r>
          </w:p>
        </w:tc>
        <w:tc>
          <w:tcPr>
            <w:tcW w:type="dxa" w:w="2794"/>
            <w:vAlign w:val="center"/>
            <w:tcMar>
              <w:top w:w="85" w:type="dxa"/>
              <w:bottom w:w="85" w:type="dxa"/>
              <w:left w:w="95" w:type="dxa"/>
              <w:right w:w="95" w:type="dxa"/>
            </w:tcMar>
            <w:shd w:fill="233544"/>
          </w:tcPr>
          <w:p>
            <w:pPr>
              <w:pStyle w:val="TableText"/>
              <w:keepNext w:val="0"/>
              <w:keepLines/>
            </w:pPr>
            <w:r>
              <w:rPr>
                <w:b/>
                <w:color w:val="FFFFFF"/>
                <w:sz w:val="20"/>
              </w:rPr>
              <w:t>Narrative role</w:t>
            </w:r>
          </w:p>
        </w:tc>
        <w:tc>
          <w:tcPr>
            <w:tcW w:type="dxa" w:w="2707"/>
            <w:vAlign w:val="center"/>
            <w:tcMar>
              <w:top w:w="85" w:type="dxa"/>
              <w:bottom w:w="85" w:type="dxa"/>
              <w:left w:w="95" w:type="dxa"/>
              <w:right w:w="95" w:type="dxa"/>
            </w:tcMar>
            <w:shd w:fill="233544"/>
          </w:tcPr>
          <w:p>
            <w:pPr>
              <w:pStyle w:val="TableText"/>
              <w:keepNext w:val="0"/>
              <w:keepLines/>
            </w:pPr>
            <w:r>
              <w:rPr>
                <w:b/>
                <w:color w:val="FFFFFF"/>
                <w:sz w:val="20"/>
              </w:rPr>
              <w:t>First reliable access</w:t>
            </w:r>
          </w:p>
        </w:tc>
        <w:tc>
          <w:tcPr>
            <w:tcW w:type="dxa" w:w="2549"/>
            <w:vAlign w:val="center"/>
            <w:tcMar>
              <w:top w:w="85" w:type="dxa"/>
              <w:bottom w:w="85" w:type="dxa"/>
              <w:left w:w="95" w:type="dxa"/>
              <w:right w:w="95" w:type="dxa"/>
            </w:tcMar>
            <w:shd w:fill="233544"/>
          </w:tcPr>
          <w:p>
            <w:pPr>
              <w:pStyle w:val="TableText"/>
              <w:keepNext w:val="0"/>
              <w:keepLines/>
            </w:pPr>
            <w:r>
              <w:rPr>
                <w:b/>
                <w:color w:val="FFFFFF"/>
                <w:sz w:val="20"/>
              </w:rPr>
              <w:t>Contribution to future expeditions</w:t>
            </w:r>
          </w:p>
        </w:tc>
      </w:tr>
      <w:tr>
        <w:trPr>
          <w:cantSplit/>
        </w:trPr>
        <w:tc>
          <w:tcPr>
            <w:tcW w:type="dxa" w:w="1944"/>
            <w:vAlign w:val="center"/>
            <w:tcMar>
              <w:top w:w="85" w:type="dxa"/>
              <w:bottom w:w="85" w:type="dxa"/>
              <w:left w:w="95" w:type="dxa"/>
              <w:right w:w="95" w:type="dxa"/>
            </w:tcMar>
            <w:shd w:fill="FFFFFF"/>
          </w:tcPr>
          <w:p>
            <w:pPr>
              <w:pStyle w:val="TableText"/>
              <w:keepNext w:val="0"/>
              <w:keepLines/>
              <w:jc w:val="center"/>
            </w:pPr>
            <w:r>
              <w:rPr>
                <w:sz w:val="20"/>
              </w:rPr>
              <w:t>Moon</w:t>
            </w:r>
          </w:p>
        </w:tc>
        <w:tc>
          <w:tcPr>
            <w:tcW w:type="dxa" w:w="2794"/>
            <w:vAlign w:val="center"/>
            <w:tcMar>
              <w:top w:w="85" w:type="dxa"/>
              <w:bottom w:w="85" w:type="dxa"/>
              <w:left w:w="95" w:type="dxa"/>
              <w:right w:w="95" w:type="dxa"/>
            </w:tcMar>
            <w:shd w:fill="FFFFFF"/>
          </w:tcPr>
          <w:p>
            <w:pPr>
              <w:pStyle w:val="TableText"/>
              <w:keepNext w:val="0"/>
              <w:keepLines/>
            </w:pPr>
            <w:r>
              <w:rPr>
                <w:sz w:val="20"/>
              </w:rPr>
              <w:t>Pale Horizon; first independent extraterrestrial foothold</w:t>
            </w:r>
          </w:p>
        </w:tc>
        <w:tc>
          <w:tcPr>
            <w:tcW w:type="dxa" w:w="2707"/>
            <w:vAlign w:val="center"/>
            <w:tcMar>
              <w:top w:w="85" w:type="dxa"/>
              <w:bottom w:w="85" w:type="dxa"/>
              <w:left w:w="95" w:type="dxa"/>
              <w:right w:w="95" w:type="dxa"/>
            </w:tcMar>
            <w:shd w:fill="FFFFFF"/>
          </w:tcPr>
          <w:p>
            <w:pPr>
              <w:pStyle w:val="TableText"/>
              <w:keepNext w:val="0"/>
              <w:keepLines/>
            </w:pPr>
            <w:r>
              <w:rPr>
                <w:sz w:val="20"/>
              </w:rPr>
              <w:t>Lunar</w:t>
            </w:r>
          </w:p>
        </w:tc>
        <w:tc>
          <w:tcPr>
            <w:tcW w:type="dxa" w:w="2549"/>
            <w:vAlign w:val="center"/>
            <w:tcMar>
              <w:top w:w="85" w:type="dxa"/>
              <w:bottom w:w="85" w:type="dxa"/>
              <w:left w:w="95" w:type="dxa"/>
              <w:right w:w="95" w:type="dxa"/>
            </w:tcMar>
            <w:shd w:fill="FFFFFF"/>
          </w:tcPr>
          <w:p>
            <w:pPr>
              <w:pStyle w:val="TableText"/>
              <w:keepNext w:val="0"/>
              <w:keepLines/>
            </w:pPr>
            <w:r>
              <w:rPr>
                <w:sz w:val="20"/>
              </w:rPr>
              <w:t>Vacuum construction, compact thermal management, observatory practice</w:t>
            </w:r>
          </w:p>
        </w:tc>
      </w:tr>
      <w:tr>
        <w:trPr>
          <w:cantSplit/>
        </w:trPr>
        <w:tc>
          <w:tcPr>
            <w:tcW w:type="dxa" w:w="1944"/>
            <w:vAlign w:val="center"/>
            <w:tcMar>
              <w:top w:w="85" w:type="dxa"/>
              <w:bottom w:w="85" w:type="dxa"/>
              <w:left w:w="95" w:type="dxa"/>
              <w:right w:w="95" w:type="dxa"/>
            </w:tcMar>
            <w:shd w:fill="F3F5F6"/>
          </w:tcPr>
          <w:p>
            <w:pPr>
              <w:pStyle w:val="TableText"/>
              <w:keepNext w:val="0"/>
              <w:keepLines/>
              <w:jc w:val="center"/>
            </w:pPr>
            <w:r>
              <w:rPr>
                <w:sz w:val="20"/>
              </w:rPr>
              <w:t>Mars</w:t>
            </w:r>
          </w:p>
        </w:tc>
        <w:tc>
          <w:tcPr>
            <w:tcW w:type="dxa" w:w="2794"/>
            <w:vAlign w:val="center"/>
            <w:tcMar>
              <w:top w:w="85" w:type="dxa"/>
              <w:bottom w:w="85" w:type="dxa"/>
              <w:left w:w="95" w:type="dxa"/>
              <w:right w:w="95" w:type="dxa"/>
            </w:tcMar>
            <w:shd w:fill="F3F5F6"/>
          </w:tcPr>
          <w:p>
            <w:pPr>
              <w:pStyle w:val="TableText"/>
              <w:keepNext w:val="0"/>
              <w:keepLines/>
            </w:pPr>
            <w:r>
              <w:rPr>
                <w:sz w:val="20"/>
              </w:rPr>
              <w:t>Red Frontier; first sustained planetary campaign</w:t>
            </w:r>
          </w:p>
        </w:tc>
        <w:tc>
          <w:tcPr>
            <w:tcW w:type="dxa" w:w="2707"/>
            <w:vAlign w:val="center"/>
            <w:tcMar>
              <w:top w:w="85" w:type="dxa"/>
              <w:bottom w:w="85" w:type="dxa"/>
              <w:left w:w="95" w:type="dxa"/>
              <w:right w:w="95" w:type="dxa"/>
            </w:tcMar>
            <w:shd w:fill="F3F5F6"/>
          </w:tcPr>
          <w:p>
            <w:pPr>
              <w:pStyle w:val="TableText"/>
              <w:keepNext w:val="0"/>
              <w:keepLines/>
            </w:pPr>
            <w:r>
              <w:rPr>
                <w:sz w:val="20"/>
              </w:rPr>
              <w:t>Interplanetary</w:t>
            </w:r>
          </w:p>
        </w:tc>
        <w:tc>
          <w:tcPr>
            <w:tcW w:type="dxa" w:w="2549"/>
            <w:vAlign w:val="center"/>
            <w:tcMar>
              <w:top w:w="85" w:type="dxa"/>
              <w:bottom w:w="85" w:type="dxa"/>
              <w:left w:w="95" w:type="dxa"/>
              <w:right w:w="95" w:type="dxa"/>
            </w:tcMar>
            <w:shd w:fill="F3F5F6"/>
          </w:tcPr>
          <w:p>
            <w:pPr>
              <w:pStyle w:val="TableText"/>
              <w:keepNext w:val="0"/>
              <w:keepLines/>
            </w:pPr>
            <w:r>
              <w:rPr>
                <w:sz w:val="20"/>
              </w:rPr>
              <w:t>Field maintenance, mobile exploration, stronger life-support logistics</w:t>
            </w:r>
          </w:p>
        </w:tc>
      </w:tr>
      <w:tr>
        <w:trPr>
          <w:cantSplit/>
        </w:trPr>
        <w:tc>
          <w:tcPr>
            <w:tcW w:type="dxa" w:w="1944"/>
            <w:vAlign w:val="center"/>
            <w:tcMar>
              <w:top w:w="85" w:type="dxa"/>
              <w:bottom w:w="85" w:type="dxa"/>
              <w:left w:w="95" w:type="dxa"/>
              <w:right w:w="95" w:type="dxa"/>
            </w:tcMar>
            <w:shd w:fill="FFFFFF"/>
          </w:tcPr>
          <w:p>
            <w:pPr>
              <w:pStyle w:val="TableText"/>
              <w:keepNext w:val="0"/>
              <w:keepLines/>
              <w:jc w:val="center"/>
            </w:pPr>
            <w:r>
              <w:rPr>
                <w:sz w:val="20"/>
              </w:rPr>
              <w:t>Ceres</w:t>
            </w:r>
          </w:p>
        </w:tc>
        <w:tc>
          <w:tcPr>
            <w:tcW w:type="dxa" w:w="2794"/>
            <w:vAlign w:val="center"/>
            <w:tcMar>
              <w:top w:w="85" w:type="dxa"/>
              <w:bottom w:w="85" w:type="dxa"/>
              <w:left w:w="95" w:type="dxa"/>
              <w:right w:w="95" w:type="dxa"/>
            </w:tcMar>
            <w:shd w:fill="FFFFFF"/>
          </w:tcPr>
          <w:p>
            <w:pPr>
              <w:pStyle w:val="TableText"/>
              <w:keepNext w:val="0"/>
              <w:keepLines/>
            </w:pPr>
            <w:r>
              <w:rPr>
                <w:sz w:val="20"/>
              </w:rPr>
              <w:t>Optional industrial and navigation branch</w:t>
            </w:r>
          </w:p>
        </w:tc>
        <w:tc>
          <w:tcPr>
            <w:tcW w:type="dxa" w:w="2707"/>
            <w:vAlign w:val="center"/>
            <w:tcMar>
              <w:top w:w="85" w:type="dxa"/>
              <w:bottom w:w="85" w:type="dxa"/>
              <w:left w:w="95" w:type="dxa"/>
              <w:right w:w="95" w:type="dxa"/>
            </w:tcMar>
            <w:shd w:fill="FFFFFF"/>
          </w:tcPr>
          <w:p>
            <w:pPr>
              <w:pStyle w:val="TableText"/>
              <w:keepNext w:val="0"/>
              <w:keepLines/>
            </w:pPr>
            <w:r>
              <w:rPr>
                <w:sz w:val="20"/>
              </w:rPr>
              <w:t>Interplanetary</w:t>
            </w:r>
          </w:p>
        </w:tc>
        <w:tc>
          <w:tcPr>
            <w:tcW w:type="dxa" w:w="2549"/>
            <w:vAlign w:val="center"/>
            <w:tcMar>
              <w:top w:w="85" w:type="dxa"/>
              <w:bottom w:w="85" w:type="dxa"/>
              <w:left w:w="95" w:type="dxa"/>
              <w:right w:w="95" w:type="dxa"/>
            </w:tcMar>
            <w:shd w:fill="FFFFFF"/>
          </w:tcPr>
          <w:p>
            <w:pPr>
              <w:pStyle w:val="TableText"/>
              <w:keepNext w:val="0"/>
              <w:keepLines/>
            </w:pPr>
            <w:r>
              <w:rPr>
                <w:sz w:val="20"/>
              </w:rPr>
              <w:t>Cargo efficiency, anchors, resource processing, low-gravity construction</w:t>
            </w:r>
          </w:p>
        </w:tc>
      </w:tr>
      <w:tr>
        <w:trPr>
          <w:cantSplit/>
        </w:trPr>
        <w:tc>
          <w:tcPr>
            <w:tcW w:type="dxa" w:w="1944"/>
            <w:vAlign w:val="center"/>
            <w:tcMar>
              <w:top w:w="85" w:type="dxa"/>
              <w:bottom w:w="85" w:type="dxa"/>
              <w:left w:w="95" w:type="dxa"/>
              <w:right w:w="95" w:type="dxa"/>
            </w:tcMar>
            <w:shd w:fill="F3F5F6"/>
          </w:tcPr>
          <w:p>
            <w:pPr>
              <w:pStyle w:val="TableText"/>
              <w:keepNext w:val="0"/>
              <w:keepLines/>
              <w:jc w:val="center"/>
            </w:pPr>
            <w:r>
              <w:rPr>
                <w:sz w:val="20"/>
              </w:rPr>
              <w:t>Europa</w:t>
            </w:r>
          </w:p>
        </w:tc>
        <w:tc>
          <w:tcPr>
            <w:tcW w:type="dxa" w:w="2794"/>
            <w:vAlign w:val="center"/>
            <w:tcMar>
              <w:top w:w="85" w:type="dxa"/>
              <w:bottom w:w="85" w:type="dxa"/>
              <w:left w:w="95" w:type="dxa"/>
              <w:right w:w="95" w:type="dxa"/>
            </w:tcMar>
            <w:shd w:fill="F3F5F6"/>
          </w:tcPr>
          <w:p>
            <w:pPr>
              <w:pStyle w:val="TableText"/>
              <w:keepNext w:val="0"/>
              <w:keepLines/>
            </w:pPr>
            <w:r>
              <w:rPr>
                <w:sz w:val="20"/>
              </w:rPr>
              <w:t>Outer Worlds; first deep alien ecosystem</w:t>
            </w:r>
          </w:p>
        </w:tc>
        <w:tc>
          <w:tcPr>
            <w:tcW w:type="dxa" w:w="2707"/>
            <w:vAlign w:val="center"/>
            <w:tcMar>
              <w:top w:w="85" w:type="dxa"/>
              <w:bottom w:w="85" w:type="dxa"/>
              <w:left w:w="95" w:type="dxa"/>
              <w:right w:w="95" w:type="dxa"/>
            </w:tcMar>
            <w:shd w:fill="F3F5F6"/>
          </w:tcPr>
          <w:p>
            <w:pPr>
              <w:pStyle w:val="TableText"/>
              <w:keepNext w:val="0"/>
              <w:keepLines/>
            </w:pPr>
            <w:r>
              <w:rPr>
                <w:sz w:val="20"/>
              </w:rPr>
              <w:t>Deep-Space</w:t>
            </w:r>
          </w:p>
        </w:tc>
        <w:tc>
          <w:tcPr>
            <w:tcW w:type="dxa" w:w="2549"/>
            <w:vAlign w:val="center"/>
            <w:tcMar>
              <w:top w:w="85" w:type="dxa"/>
              <w:bottom w:w="85" w:type="dxa"/>
              <w:left w:w="95" w:type="dxa"/>
              <w:right w:w="95" w:type="dxa"/>
            </w:tcMar>
            <w:shd w:fill="F3F5F6"/>
          </w:tcPr>
          <w:p>
            <w:pPr>
              <w:pStyle w:val="TableText"/>
              <w:keepNext w:val="0"/>
              <w:keepLines/>
            </w:pPr>
            <w:r>
              <w:rPr>
                <w:sz w:val="20"/>
              </w:rPr>
              <w:t>Ice access, pressure discipline, submersible exploration, sensitive sampling</w:t>
            </w:r>
          </w:p>
        </w:tc>
      </w:tr>
      <w:tr>
        <w:trPr>
          <w:cantSplit/>
        </w:trPr>
        <w:tc>
          <w:tcPr>
            <w:tcW w:type="dxa" w:w="1944"/>
            <w:vAlign w:val="center"/>
            <w:tcMar>
              <w:top w:w="85" w:type="dxa"/>
              <w:bottom w:w="85" w:type="dxa"/>
              <w:left w:w="95" w:type="dxa"/>
              <w:right w:w="95" w:type="dxa"/>
            </w:tcMar>
            <w:shd w:fill="FFFFFF"/>
          </w:tcPr>
          <w:p>
            <w:pPr>
              <w:pStyle w:val="TableText"/>
              <w:keepNext w:val="0"/>
              <w:keepLines/>
              <w:jc w:val="center"/>
            </w:pPr>
            <w:r>
              <w:rPr>
                <w:sz w:val="20"/>
              </w:rPr>
              <w:t>Io</w:t>
            </w:r>
          </w:p>
        </w:tc>
        <w:tc>
          <w:tcPr>
            <w:tcW w:type="dxa" w:w="2794"/>
            <w:vAlign w:val="center"/>
            <w:tcMar>
              <w:top w:w="85" w:type="dxa"/>
              <w:bottom w:w="85" w:type="dxa"/>
              <w:left w:w="95" w:type="dxa"/>
              <w:right w:w="95" w:type="dxa"/>
            </w:tcMar>
            <w:shd w:fill="FFFFFF"/>
          </w:tcPr>
          <w:p>
            <w:pPr>
              <w:pStyle w:val="TableText"/>
              <w:keepNext w:val="0"/>
              <w:keepLines/>
            </w:pPr>
            <w:r>
              <w:rPr>
                <w:sz w:val="20"/>
              </w:rPr>
              <w:t>Optional high-energy engineering branch</w:t>
            </w:r>
          </w:p>
        </w:tc>
        <w:tc>
          <w:tcPr>
            <w:tcW w:type="dxa" w:w="2707"/>
            <w:vAlign w:val="center"/>
            <w:tcMar>
              <w:top w:w="85" w:type="dxa"/>
              <w:bottom w:w="85" w:type="dxa"/>
              <w:left w:w="95" w:type="dxa"/>
              <w:right w:w="95" w:type="dxa"/>
            </w:tcMar>
            <w:shd w:fill="FFFFFF"/>
          </w:tcPr>
          <w:p>
            <w:pPr>
              <w:pStyle w:val="TableText"/>
              <w:keepNext w:val="0"/>
              <w:keepLines/>
            </w:pPr>
            <w:r>
              <w:rPr>
                <w:sz w:val="20"/>
              </w:rPr>
              <w:t>Deep-Space</w:t>
            </w:r>
          </w:p>
        </w:tc>
        <w:tc>
          <w:tcPr>
            <w:tcW w:type="dxa" w:w="2549"/>
            <w:vAlign w:val="center"/>
            <w:tcMar>
              <w:top w:w="85" w:type="dxa"/>
              <w:bottom w:w="85" w:type="dxa"/>
              <w:left w:w="95" w:type="dxa"/>
              <w:right w:w="95" w:type="dxa"/>
            </w:tcMar>
            <w:shd w:fill="FFFFFF"/>
          </w:tcPr>
          <w:p>
            <w:pPr>
              <w:pStyle w:val="TableText"/>
              <w:keepNext w:val="0"/>
              <w:keepLines/>
            </w:pPr>
            <w:r>
              <w:rPr>
                <w:sz w:val="20"/>
              </w:rPr>
              <w:t>Heat recovery, temporary industrial operation, active-terrain navigation</w:t>
            </w:r>
          </w:p>
        </w:tc>
      </w:tr>
      <w:tr>
        <w:trPr>
          <w:cantSplit/>
        </w:trPr>
        <w:tc>
          <w:tcPr>
            <w:tcW w:type="dxa" w:w="1944"/>
            <w:vAlign w:val="center"/>
            <w:tcMar>
              <w:top w:w="85" w:type="dxa"/>
              <w:bottom w:w="85" w:type="dxa"/>
              <w:left w:w="95" w:type="dxa"/>
              <w:right w:w="95" w:type="dxa"/>
            </w:tcMar>
            <w:shd w:fill="F3F5F6"/>
          </w:tcPr>
          <w:p>
            <w:pPr>
              <w:pStyle w:val="TableText"/>
              <w:keepNext w:val="0"/>
              <w:keepLines/>
              <w:jc w:val="center"/>
            </w:pPr>
            <w:r>
              <w:rPr>
                <w:sz w:val="20"/>
              </w:rPr>
              <w:t>Titan</w:t>
            </w:r>
          </w:p>
        </w:tc>
        <w:tc>
          <w:tcPr>
            <w:tcW w:type="dxa" w:w="2794"/>
            <w:vAlign w:val="center"/>
            <w:tcMar>
              <w:top w:w="85" w:type="dxa"/>
              <w:bottom w:w="85" w:type="dxa"/>
              <w:left w:w="95" w:type="dxa"/>
              <w:right w:w="95" w:type="dxa"/>
            </w:tcMar>
            <w:shd w:fill="F3F5F6"/>
          </w:tcPr>
          <w:p>
            <w:pPr>
              <w:pStyle w:val="TableText"/>
              <w:keepNext w:val="0"/>
              <w:keepLines/>
            </w:pPr>
            <w:r>
              <w:rPr>
                <w:sz w:val="20"/>
              </w:rPr>
              <w:t>Outer Worlds; atmosphere, weather, and chemical landscapes</w:t>
            </w:r>
          </w:p>
        </w:tc>
        <w:tc>
          <w:tcPr>
            <w:tcW w:type="dxa" w:w="2707"/>
            <w:vAlign w:val="center"/>
            <w:tcMar>
              <w:top w:w="85" w:type="dxa"/>
              <w:bottom w:w="85" w:type="dxa"/>
              <w:left w:w="95" w:type="dxa"/>
              <w:right w:w="95" w:type="dxa"/>
            </w:tcMar>
            <w:shd w:fill="F3F5F6"/>
          </w:tcPr>
          <w:p>
            <w:pPr>
              <w:pStyle w:val="TableText"/>
              <w:keepNext w:val="0"/>
              <w:keepLines/>
            </w:pPr>
            <w:r>
              <w:rPr>
                <w:sz w:val="20"/>
              </w:rPr>
              <w:t>Deep-Space</w:t>
            </w:r>
          </w:p>
        </w:tc>
        <w:tc>
          <w:tcPr>
            <w:tcW w:type="dxa" w:w="2549"/>
            <w:vAlign w:val="center"/>
            <w:tcMar>
              <w:top w:w="85" w:type="dxa"/>
              <w:bottom w:w="85" w:type="dxa"/>
              <w:left w:w="95" w:type="dxa"/>
              <w:right w:w="95" w:type="dxa"/>
            </w:tcMar>
            <w:shd w:fill="F3F5F6"/>
          </w:tcPr>
          <w:p>
            <w:pPr>
              <w:pStyle w:val="TableText"/>
              <w:keepNext w:val="0"/>
              <w:keepLines/>
            </w:pPr>
            <w:r>
              <w:rPr>
                <w:sz w:val="20"/>
              </w:rPr>
              <w:t>Flight envelopes, environmental sensing, efficient closed-loop machinery</w:t>
            </w:r>
          </w:p>
        </w:tc>
      </w:tr>
      <w:tr>
        <w:trPr>
          <w:cantSplit/>
        </w:trPr>
        <w:tc>
          <w:tcPr>
            <w:tcW w:type="dxa" w:w="1944"/>
            <w:vAlign w:val="center"/>
            <w:tcMar>
              <w:top w:w="85" w:type="dxa"/>
              <w:bottom w:w="85" w:type="dxa"/>
              <w:left w:w="95" w:type="dxa"/>
              <w:right w:w="95" w:type="dxa"/>
            </w:tcMar>
            <w:shd w:fill="FFFFFF"/>
          </w:tcPr>
          <w:p>
            <w:pPr>
              <w:pStyle w:val="TableText"/>
              <w:keepNext w:val="0"/>
              <w:keepLines/>
              <w:jc w:val="center"/>
            </w:pPr>
            <w:r>
              <w:rPr>
                <w:sz w:val="20"/>
              </w:rPr>
              <w:t>Pluto</w:t>
            </w:r>
          </w:p>
        </w:tc>
        <w:tc>
          <w:tcPr>
            <w:tcW w:type="dxa" w:w="2794"/>
            <w:vAlign w:val="center"/>
            <w:tcMar>
              <w:top w:w="85" w:type="dxa"/>
              <w:bottom w:w="85" w:type="dxa"/>
              <w:left w:w="95" w:type="dxa"/>
              <w:right w:w="95" w:type="dxa"/>
            </w:tcMar>
            <w:shd w:fill="FFFFFF"/>
          </w:tcPr>
          <w:p>
            <w:pPr>
              <w:pStyle w:val="TableText"/>
              <w:keepNext w:val="0"/>
              <w:keepLines/>
            </w:pPr>
            <w:r>
              <w:rPr>
                <w:sz w:val="20"/>
              </w:rPr>
              <w:t>Outer Worlds culmination; distance, silence, navigation</w:t>
            </w:r>
          </w:p>
        </w:tc>
        <w:tc>
          <w:tcPr>
            <w:tcW w:type="dxa" w:w="2707"/>
            <w:vAlign w:val="center"/>
            <w:tcMar>
              <w:top w:w="85" w:type="dxa"/>
              <w:bottom w:w="85" w:type="dxa"/>
              <w:left w:w="95" w:type="dxa"/>
              <w:right w:w="95" w:type="dxa"/>
            </w:tcMar>
            <w:shd w:fill="FFFFFF"/>
          </w:tcPr>
          <w:p>
            <w:pPr>
              <w:pStyle w:val="TableText"/>
              <w:keepNext w:val="0"/>
              <w:keepLines/>
            </w:pPr>
            <w:r>
              <w:rPr>
                <w:sz w:val="20"/>
              </w:rPr>
              <w:t>Deep-Space</w:t>
            </w:r>
          </w:p>
        </w:tc>
        <w:tc>
          <w:tcPr>
            <w:tcW w:type="dxa" w:w="2549"/>
            <w:vAlign w:val="center"/>
            <w:tcMar>
              <w:top w:w="85" w:type="dxa"/>
              <w:bottom w:w="85" w:type="dxa"/>
              <w:left w:w="95" w:type="dxa"/>
              <w:right w:w="95" w:type="dxa"/>
            </w:tcMar>
            <w:shd w:fill="FFFFFF"/>
          </w:tcPr>
          <w:p>
            <w:pPr>
              <w:pStyle w:val="TableText"/>
              <w:keepNext w:val="0"/>
              <w:keepLines/>
            </w:pPr>
            <w:r>
              <w:rPr>
                <w:sz w:val="20"/>
              </w:rPr>
              <w:t>Interstellar route calibration and long-duration autonomy</w:t>
            </w:r>
          </w:p>
        </w:tc>
      </w:tr>
      <w:tr>
        <w:trPr>
          <w:cantSplit/>
        </w:trPr>
        <w:tc>
          <w:tcPr>
            <w:tcW w:type="dxa" w:w="1944"/>
            <w:vAlign w:val="center"/>
            <w:tcMar>
              <w:top w:w="85" w:type="dxa"/>
              <w:bottom w:w="85" w:type="dxa"/>
              <w:left w:w="95" w:type="dxa"/>
              <w:right w:w="95" w:type="dxa"/>
            </w:tcMar>
            <w:shd w:fill="F3F5F6"/>
          </w:tcPr>
          <w:p>
            <w:pPr>
              <w:pStyle w:val="TableText"/>
              <w:keepNext w:val="0"/>
              <w:keepLines/>
              <w:jc w:val="center"/>
            </w:pPr>
            <w:r>
              <w:rPr>
                <w:sz w:val="20"/>
              </w:rPr>
              <w:t>Cairn</w:t>
            </w:r>
          </w:p>
        </w:tc>
        <w:tc>
          <w:tcPr>
            <w:tcW w:type="dxa" w:w="2794"/>
            <w:vAlign w:val="center"/>
            <w:tcMar>
              <w:top w:w="85" w:type="dxa"/>
              <w:bottom w:w="85" w:type="dxa"/>
              <w:left w:w="95" w:type="dxa"/>
              <w:right w:w="95" w:type="dxa"/>
            </w:tcMar>
            <w:shd w:fill="F3F5F6"/>
          </w:tcPr>
          <w:p>
            <w:pPr>
              <w:pStyle w:val="TableText"/>
              <w:keepNext w:val="0"/>
              <w:keepLines/>
            </w:pPr>
            <w:r>
              <w:rPr>
                <w:sz w:val="20"/>
              </w:rPr>
              <w:t>Beyond Sol; interpret a place outside familiar history</w:t>
            </w:r>
          </w:p>
        </w:tc>
        <w:tc>
          <w:tcPr>
            <w:tcW w:type="dxa" w:w="2707"/>
            <w:vAlign w:val="center"/>
            <w:tcMar>
              <w:top w:w="85" w:type="dxa"/>
              <w:bottom w:w="85" w:type="dxa"/>
              <w:left w:w="95" w:type="dxa"/>
              <w:right w:w="95" w:type="dxa"/>
            </w:tcMar>
            <w:shd w:fill="F3F5F6"/>
          </w:tcPr>
          <w:p>
            <w:pPr>
              <w:pStyle w:val="TableText"/>
              <w:keepNext w:val="0"/>
              <w:keepLines/>
            </w:pPr>
            <w:r>
              <w:rPr>
                <w:sz w:val="20"/>
              </w:rPr>
              <w:t>Interstellar</w:t>
            </w:r>
          </w:p>
        </w:tc>
        <w:tc>
          <w:tcPr>
            <w:tcW w:type="dxa" w:w="2549"/>
            <w:vAlign w:val="center"/>
            <w:tcMar>
              <w:top w:w="85" w:type="dxa"/>
              <w:bottom w:w="85" w:type="dxa"/>
              <w:left w:w="95" w:type="dxa"/>
              <w:right w:w="95" w:type="dxa"/>
            </w:tcMar>
            <w:shd w:fill="F3F5F6"/>
          </w:tcPr>
          <w:p>
            <w:pPr>
              <w:pStyle w:val="TableText"/>
              <w:keepNext w:val="0"/>
              <w:keepLines/>
            </w:pPr>
            <w:r>
              <w:rPr>
                <w:sz w:val="20"/>
              </w:rPr>
              <w:t>Bounded anomaly tools and access to a second destination in Afterlight</w:t>
            </w:r>
          </w:p>
        </w:tc>
      </w:tr>
      <w:tr>
        <w:trPr>
          <w:cantSplit/>
        </w:trPr>
        <w:tc>
          <w:tcPr>
            <w:tcW w:type="dxa" w:w="1944"/>
            <w:vAlign w:val="center"/>
            <w:tcMar>
              <w:top w:w="85" w:type="dxa"/>
              <w:bottom w:w="85" w:type="dxa"/>
              <w:left w:w="95" w:type="dxa"/>
              <w:right w:w="95" w:type="dxa"/>
            </w:tcMar>
            <w:shd w:fill="FFFFFF"/>
          </w:tcPr>
          <w:p>
            <w:pPr>
              <w:pStyle w:val="TableText"/>
              <w:keepNext w:val="0"/>
              <w:keepLines/>
              <w:jc w:val="center"/>
            </w:pPr>
            <w:r>
              <w:rPr>
                <w:sz w:val="20"/>
              </w:rPr>
              <w:t>Morrow</w:t>
            </w:r>
          </w:p>
        </w:tc>
        <w:tc>
          <w:tcPr>
            <w:tcW w:type="dxa" w:w="2794"/>
            <w:vAlign w:val="center"/>
            <w:tcMar>
              <w:top w:w="85" w:type="dxa"/>
              <w:bottom w:w="85" w:type="dxa"/>
              <w:left w:w="95" w:type="dxa"/>
              <w:right w:w="95" w:type="dxa"/>
            </w:tcMar>
            <w:shd w:fill="FFFFFF"/>
          </w:tcPr>
          <w:p>
            <w:pPr>
              <w:pStyle w:val="TableText"/>
              <w:keepNext w:val="0"/>
              <w:keepLines/>
            </w:pPr>
            <w:r>
              <w:rPr>
                <w:sz w:val="20"/>
              </w:rPr>
              <w:t>Beyond Sol; apply knowledge to a living frontier</w:t>
            </w:r>
          </w:p>
        </w:tc>
        <w:tc>
          <w:tcPr>
            <w:tcW w:type="dxa" w:w="2707"/>
            <w:vAlign w:val="center"/>
            <w:tcMar>
              <w:top w:w="85" w:type="dxa"/>
              <w:bottom w:w="85" w:type="dxa"/>
              <w:left w:w="95" w:type="dxa"/>
              <w:right w:w="95" w:type="dxa"/>
            </w:tcMar>
            <w:shd w:fill="FFFFFF"/>
          </w:tcPr>
          <w:p>
            <w:pPr>
              <w:pStyle w:val="TableText"/>
              <w:keepNext w:val="0"/>
              <w:keepLines/>
            </w:pPr>
            <w:r>
              <w:rPr>
                <w:sz w:val="20"/>
              </w:rPr>
              <w:t>Interstellar</w:t>
            </w:r>
          </w:p>
        </w:tc>
        <w:tc>
          <w:tcPr>
            <w:tcW w:type="dxa" w:w="2549"/>
            <w:vAlign w:val="center"/>
            <w:tcMar>
              <w:top w:w="85" w:type="dxa"/>
              <w:bottom w:w="85" w:type="dxa"/>
              <w:left w:w="95" w:type="dxa"/>
              <w:right w:w="95" w:type="dxa"/>
            </w:tcMar>
            <w:shd w:fill="FFFFFF"/>
          </w:tcPr>
          <w:p>
            <w:pPr>
              <w:pStyle w:val="TableText"/>
              <w:keepNext w:val="0"/>
              <w:keepLines/>
            </w:pPr>
            <w:r>
              <w:rPr>
                <w:sz w:val="20"/>
              </w:rPr>
              <w:t>Ecological construction, optional restoration, meaningful endgame stewardship</w:t>
            </w:r>
          </w:p>
        </w:tc>
      </w:tr>
    </w:tbl>
    <w:p>
      <w:pPr>
        <w:spacing w:after="0" w:before="0" w:line="60" w:lineRule="exact"/>
      </w:pPr>
      <w:r>
        <w:rPr>
          <w:sz w:val="6"/>
        </w:rPr>
      </w:r>
    </w:p>
    <w:p>
      <w:pPr/>
      <w:r>
        <w:t>These are capability gates, not nine versions of “find a stronger ore.” The player can build the vehicle, arrival equipment, initial habitat, and safe return capability for a destination using knowledge and supplies already available. A destination's discoveries improve later expeditions or open its deeper regions. They never create a circular demand to mine beneath lethal conditions before the protection against those conditions can be crafted.</w:t>
      </w:r>
    </w:p>
    <w:p>
      <w:pPr>
        <w:pStyle w:val="Heading3"/>
      </w:pPr>
      <w:r>
        <w:t>An expedition should change its shape</w:t>
      </w:r>
    </w:p>
    <w:p>
      <w:pPr/>
      <w:r>
        <w:t>A first landing is compact: establish shelter, read the terrain, make one descent, return with a discovery. A second visit grows outward through a meaningful project such as a borehead, tether mast, weather station, or tram. Later visits support settlement, specialized industry, unusual variants, and optional mastery challenges. Mature outposts reduce repeated travel chores and expose new decisions. The landing sequence remains available for atmosphere and role-play, but established routes can use a shorter travel option.</w:t>
      </w:r>
    </w:p>
    <w:p>
      <w:pPr/>
      <w:r>
        <w:t>The first two space destinations should each support a memorable campaign, rather than being tutorial rocks passed through in an hour. The Moon teaches exposure and deliberate movement; Mars teaches distance, route planning, and maintaining an expedition beyond the immediate lander. Europa and Titan broaden the game's ecology and traversal language. Pluto tests preparation and interpretation without simply maximizing damage numbers.</w:t>
      </w:r>
    </w:p>
    <w:p>
      <w:bookmarkStart w:id="22" w:name="chapter_22"/>
      <w:pPr>
        <w:pStyle w:val="Heading1"/>
      </w:pPr>
      <w:r>
        <w:t>Moon</w:t>
      </w:r>
      <w:bookmarkEnd w:id="22"/>
    </w:p>
    <w:p>
      <w:pPr>
        <w:pStyle w:val="Heading3"/>
      </w:pPr>
      <w:r>
        <w:t>Identity and arrival</w:t>
      </w:r>
    </w:p>
    <w:p>
      <w:pPr/>
      <w:r>
        <w:t>The Moon should feel astonishing because Earth is visible and help is suddenly far away. The soundscape moves inside the suit: breath, transmitted steps, tool contact, radio clicks, and machinery touching the ground. Its intended population is overwhelmingly lifeless. Tension comes from terrain, exposure, visibility, and one's own engineering. It should not acquire a standard crowd of reskinned hostile creatures merely to fill empty space.</w:t>
      </w:r>
    </w:p>
    <w:p>
      <w:pPr/>
      <w:r>
        <w:t>The first Lunar lander brings an airlocked refuge, enough protected supplies for a complete round trip, portable lighting, a tether kit, dust seals, and a basic survey instrument. The player chooses among safe candidate landing sites described in plain language. More dramatic sites remain available to experienced expeditions. The first descent entrance sits within a feasible walking loop, while the skyline invites longer excursions after the foothold is secure.</w:t>
      </w:r>
    </w:p>
    <w:p>
      <w:pPr>
        <w:pStyle w:val="Heading3"/>
      </w:pPr>
      <w:r>
        <w:t>Generation grammar and named experiences</w:t>
      </w:r>
    </w:p>
    <w:p>
      <w:pPr/>
      <w:r>
        <w:rPr>
          <w:b/>
        </w:rPr>
        <w:t>MO-S1 — Earthrise Rim.</w:t>
      </w:r>
      <w:r>
        <w:t xml:space="preserve"> Crater rims, shallow ridges, and broad regolith shelves create readable silhouettes. Earth appears through gaps in the rim during the expedition's authored viewing conditions. Survey lines, flag sites, and shielded habitat pockets make this the emotional home of the first landing. Surface generation must preserve long sightlines and occasional startling drops rather than producing an ordinary rolling Overworld with gray blocks.</w:t>
      </w:r>
    </w:p>
    <w:p>
      <w:pPr/>
      <w:r>
        <w:rPr>
          <w:b/>
        </w:rPr>
        <w:t>MO-S2 — Shadow Basin.</w:t>
      </w:r>
      <w:r>
        <w:t xml:space="preserve"> Permanently shaded-looking crater pockets offer a contrasting dark route within the game's stylized lighting model. Reflective markers and mobile lights reveal paths across slumped dust. A long surface journey might enter darkness, cross sheltered shelves, and emerge beside a bright rim. This is a navigation experience; it should not be reduced to an invisible temperature damage zone.</w:t>
      </w:r>
    </w:p>
    <w:p>
      <w:pPr/>
      <w:r>
        <w:rPr>
          <w:b/>
        </w:rPr>
        <w:t>MO-L1 — Regolith Hollows.</w:t>
      </w:r>
      <w:r>
        <w:t xml:space="preserve"> The shallow underground comprises small voids, compressed dust shelves, fractured impact deposits, and buried blocks. Paths are tight enough for careful suit movement and teach bracing unstable surfaces. Sound transmitted through tools can hint at an adjacent void. Different hollows favor crouched surveying, gentle extraction, or short tethered drops. Not every crater hides an entrance, and repeated geological motifs give experienced players clues.</w:t>
      </w:r>
    </w:p>
    <w:p>
      <w:pPr/>
      <w:r>
        <w:rPr>
          <w:b/>
        </w:rPr>
        <w:t>MO-L2 — Basalt Galleries.</w:t>
      </w:r>
      <w:r>
        <w:t xml:space="preserve"> Long, sweeping lava-tube-inspired passages open into immense dark chambers. Collapsed roofs connect some galleries to the surface, creating shafts of light and alternate exits. Routes alternate between smooth walking floors, boulder chokes, vertical tube junctions, and bridges the player constructs. Broad stable sections become attractive pressurized construction sites once a gallery's boundaries are surveyed.</w:t>
      </w:r>
    </w:p>
    <w:p>
      <w:pPr/>
      <w:r>
        <w:rPr>
          <w:b/>
        </w:rPr>
        <w:t>MO-L3 — Glassfall Vaults.</w:t>
      </w:r>
      <w:r>
        <w:t xml:space="preserve"> Deeper chambers contain fictional impact-glass seams, delicate hanging fragments, and steep polished fractures. Light travels across surfaces in surprising but readable ways. The signature challenge is moving instruments through narrow ledges without disturbing every seam. Rare chambers might contain an unusual pattern related to Earth's deeper mysteries, but most remain geological places without built ruins or implied inhabitants.</w:t>
      </w:r>
    </w:p>
    <w:p>
      <w:pPr>
        <w:pStyle w:val="Heading3"/>
      </w:pPr>
      <w:r>
        <w:t>Counterplay resources and projects</w:t>
      </w:r>
    </w:p>
    <w:p>
      <w:pPr/>
      <w:r>
        <w:t>Dust contamination is visible on seals and exposed machinery and can be cleared at a service station. Shadowed routes advertise cold through instruments, suit feedback, and obvious lighting changes; insulation and batteries are brought from Earth. Tethers and anchors answer low-gravity falls and awkward jumps. Cavities that can collapse show cracks and falling particles before a local, bounded event. No world-spanning simulation silently destroys the first base.</w:t>
      </w:r>
    </w:p>
    <w:p>
      <w:pPr/>
      <w:r>
        <w:rPr>
          <w:b/>
        </w:rPr>
        <w:t>Lunar Glass Filament</w:t>
      </w:r>
      <w:r>
        <w:t xml:space="preserve"> is a proposed fictional refined material for sensors, light guides, and compact instrument housings. </w:t>
      </w:r>
      <w:r>
        <w:rPr>
          <w:b/>
        </w:rPr>
        <w:t>Regolith Ceramic</w:t>
      </w:r>
      <w:r>
        <w:t xml:space="preserve"> uses abundant surface feedstock to improve vacuum habitat panels and thermal shielding. Both support construction and observation; neither becomes a universally stronger sword. Common structural ingredients remain obtainable through more than one local region.</w:t>
      </w:r>
    </w:p>
    <w:p>
      <w:pPr/>
      <w:r>
        <w:t xml:space="preserve">The </w:t>
      </w:r>
      <w:r>
        <w:rPr>
          <w:b/>
        </w:rPr>
        <w:t>Lunar Shelter Controller</w:t>
      </w:r>
      <w:r>
        <w:t xml:space="preserve"> begins with a powered airlock and protected sleeping cell, then adds a dust porch, workshop, storage, and optional gallery enclosure. The </w:t>
      </w:r>
      <w:r>
        <w:rPr>
          <w:b/>
        </w:rPr>
        <w:t>Rim Observatory Controller</w:t>
      </w:r>
      <w:r>
        <w:t xml:space="preserve"> creates a visible landmark and improves regional survey maps. The flagship expedition, </w:t>
      </w:r>
      <w:r>
        <w:rPr>
          <w:b/>
        </w:rPr>
        <w:t>A Light Across the Basin</w:t>
      </w:r>
      <w:r>
        <w:t>, asks the player to connect two natural vantage points with a sequence of reflectors and protected relay instruments. Its goal is accurate observation and route-making, not activating an ancient lunar temple.</w:t>
      </w:r>
    </w:p>
    <w:p>
      <w:pPr>
        <w:pStyle w:val="Heading3"/>
      </w:pPr>
      <w:r>
        <w:t>A representative expedition and lasting value</w:t>
      </w:r>
    </w:p>
    <w:p>
      <w:pPr/>
      <w:r>
        <w:t>An early expedition lands at Earthrise Rim, establishes the shelter, walks to a known tube opening, descends through Regolith Hollows, and reaches a Basalt Gallery. The player returns with filament feedstock, a cave survey, and a photograph of Earth through the collapsed roof. A later trip approaches the same system through Shadow Basin and reaches Glassfall Vaults using improved anchors.</w:t>
      </w:r>
    </w:p>
    <w:p>
      <w:pPr/>
      <w:r>
        <w:t>Home benefits include compact cave lighting, sealed workshops, observatory furniture, and more reliable survey instruments. Repeat visits offer new tube layouts, distant crater chains, unusual glass compositions, and outpost construction. The Moon should remain a useful and beautiful place to live after Mars opens.</w:t>
      </w:r>
    </w:p>
    <w:p>
      <w:pPr/>
      <w:r>
        <w:rPr>
          <w:b/>
        </w:rPr>
        <w:t>Illustration subjects:</w:t>
      </w:r>
      <w:r>
        <w:t xml:space="preserve"> Earthrise Rim lander vista; Shadow Basin light trail; cramped Regolith Hollows traversal; Basalt Galleries habitat; Glassfall Vaults extraction; lunar shelter stages; observatory and reflector mission; both material specimens.</w:t>
      </w:r>
    </w:p>
    <w:p>
      <w:bookmarkStart w:id="23" w:name="chapter_23"/>
      <w:pPr>
        <w:pStyle w:val="Heading1"/>
      </w:pPr>
      <w:r>
        <w:t>Mars</w:t>
      </w:r>
      <w:bookmarkEnd w:id="23"/>
    </w:p>
    <w:p>
      <w:pPr>
        <w:pStyle w:val="Heading3"/>
      </w:pPr>
      <w:r>
        <w:t>Identity and arrival</w:t>
      </w:r>
    </w:p>
    <w:p>
      <w:pPr/>
      <w:r>
        <w:t>Mars expands the feeling of expedition from one shelter to a connected region. Its surface offers distant escarpments, dry channels, sediment shelves, wind-carved forms, and weather that can change a familiar route. The player can see where they want to go long before they can reach it conveniently. The underground offers preserved water-shaped spaces, mineral growth, and a deep contrast between dry exposure and sheltered pockets.</w:t>
      </w:r>
    </w:p>
    <w:p>
      <w:pPr/>
      <w:r>
        <w:t>Arrival equipment includes appropriate atmospheric protection, dust filtration, insulation, repair supplies, a weather reader, and a rover or materials for a small rover assembly project. It comes from Earth and the Moon. Early gameplay does not demand local life, drinkable liquid, or a functioning ancient machine to keep the expedition alive. Sparse fictional microbial or mat-like life can appear later in protected depths; this is a creative choice for review, not a claim about actual Mars.</w:t>
      </w:r>
    </w:p>
    <w:p>
      <w:pPr>
        <w:pStyle w:val="Heading3"/>
      </w:pPr>
      <w:r>
        <w:t>Generation grammar and named experiences</w:t>
      </w:r>
    </w:p>
    <w:p>
      <w:pPr/>
      <w:r>
        <w:rPr>
          <w:b/>
        </w:rPr>
        <w:t>MA-S1 — Windcut Tablelands.</w:t>
      </w:r>
      <w:r>
        <w:t xml:space="preserve"> Layered mesas and broad benches make a clear stepping pattern between landing flats and high viewpoints. Routes follow terraces, cross narrow saddles, or take slower gullies. Dust accumulates around the lee sides of terrain and structures, giving weather direction a visible geography. The region suits rover exploration, roadside shelters, and player-built lookout towers.</w:t>
      </w:r>
    </w:p>
    <w:p>
      <w:pPr/>
      <w:r>
        <w:rPr>
          <w:b/>
        </w:rPr>
        <w:t>MA-S2 — Buried Delta.</w:t>
      </w:r>
      <w:r>
        <w:t xml:space="preserve"> A branching dry channel network reveals the shapes of former flow. Some channels descend into fissures, others terminate beneath sediment, and isolated basins create natural expedition loops. From above, the player can read where connected deposits may lie. Small survey projects uncover a route; they do not overwrite the landscape with quest markers everywhere.</w:t>
      </w:r>
    </w:p>
    <w:p>
      <w:pPr/>
      <w:r>
        <w:rPr>
          <w:b/>
        </w:rPr>
        <w:t>MA-L1 — Ochre Galleries.</w:t>
      </w:r>
      <w:r>
        <w:t xml:space="preserve"> Sheltered shallow tunnels follow cracked sediment layers. Thin partitions, window-like openings, and sloped galleries invite mapping across multiple elevations. Visible grain direction and bedding guide prospecting. Sites include concealed wind shelters, exposed cross-sections, and chambers where the player's footsteps disturb colored dust. They are hospitable places for an initial underground field camp once secured.</w:t>
      </w:r>
    </w:p>
    <w:p>
      <w:pPr/>
      <w:r>
        <w:rPr>
          <w:b/>
        </w:rPr>
        <w:t>MA-L2 — Brine Scarps.</w:t>
      </w:r>
      <w:r>
        <w:t xml:space="preserve"> Fictional isolated brine pockets cut into stepped mineral cliffs. Pale crusts, damp traces, and slow deposits distinguish them from Earth's abundant water caves. Players follow channels, place sampling stations, and cross shelves where corrosive material threatens equipment more than health. Optional living mats occupy a few sheltered niches and respond to light or vibration without turning the entire layer into a forest.</w:t>
      </w:r>
    </w:p>
    <w:p>
      <w:pPr/>
      <w:r>
        <w:rPr>
          <w:b/>
        </w:rPr>
        <w:t>MA-L3 — Rootstone Chambers.</w:t>
      </w:r>
      <w:r>
        <w:t xml:space="preserve"> Dense branching mineral formations create a misleadingly organic geometry: roots, ribs, woven walls, and arches that remain predominantly geological. Some networks carry detectable pulses through rock, tying planetary investigation to Earth's deeper observations. Traversal combines winding passages with open negative spaces between enormous formations. The player learns to identify a continuous structure across separated chambers instead of digging a straight staircase.</w:t>
      </w:r>
    </w:p>
    <w:p>
      <w:pPr>
        <w:pStyle w:val="Heading3"/>
      </w:pPr>
      <w:r>
        <w:t>Counterplay rewards and a campaign project</w:t>
      </w:r>
    </w:p>
    <w:p>
      <w:pPr/>
      <w:r>
        <w:t>Dust fronts are telegraphed by sky changes, wind direction, and forecasts. A player can wait in a shelter, take protected channels, or use a marked rover route. Filters show remaining service life, and a reserve cartridge is ordinary expedition equipment. Brine damages unprotected tools gradually and visibly; sleeves and remote sampling arms are available before this layer opens. Dark mineral walls can interrupt survey readings, but physical markers remain dependable.</w:t>
      </w:r>
    </w:p>
    <w:p>
      <w:pPr/>
      <w:r>
        <w:rPr>
          <w:b/>
        </w:rPr>
        <w:t>Ferric Lattice</w:t>
      </w:r>
      <w:r>
        <w:t xml:space="preserve"> is a proposed processed composite for repairable frames, rover components, and rugged machinery. </w:t>
      </w:r>
      <w:r>
        <w:rPr>
          <w:b/>
        </w:rPr>
        <w:t>Brine Catalyst</w:t>
      </w:r>
      <w:r>
        <w:t xml:space="preserve"> is a fictional reagent for compact processing and closed-loop habitat equipment. Their key benefit is sustained operation far from the primary workshop. Mars should make field engineering better without making every Earth structure obsolete.</w:t>
      </w:r>
    </w:p>
    <w:p>
      <w:pPr/>
      <w:r>
        <w:t xml:space="preserve">The </w:t>
      </w:r>
      <w:r>
        <w:rPr>
          <w:b/>
        </w:rPr>
        <w:t>Frontier Yard Controller</w:t>
      </w:r>
      <w:r>
        <w:t xml:space="preserve"> grows from service pad and shelter into rover bay, repair gantry, weather mast, greenhouse module, and regional supply depot. </w:t>
      </w:r>
      <w:r>
        <w:rPr>
          <w:b/>
        </w:rPr>
        <w:t>The River That Isn't There</w:t>
      </w:r>
      <w:r>
        <w:t xml:space="preserve"> is the signature mission: reconstruct a buried drainage route using surface shape, core samples, and underground landmarks, then install a survey instrument in a Rootstone Chamber. The reward is both a new route and useful knowledge about the planet. The discovery does not need a second abandoned alien city.</w:t>
      </w:r>
    </w:p>
    <w:p>
      <w:pPr>
        <w:pStyle w:val="Heading3"/>
      </w:pPr>
      <w:r>
        <w:t>Expedition rhythm and return home impact</w:t>
      </w:r>
    </w:p>
    <w:p>
      <w:pPr/>
      <w:r>
        <w:t>A sample sortie starts at Windcut Tablelands, drives through Buried Delta, shelters from a dust front in Ochre Galleries, and follows mineral traces to Brine Scarps. The team establishes a sample camp, returns with a catalyst batch and terrain data, then builds equipment for the deeper Rootstone route. The same campaign later opens a distant regional yard, making a formerly difficult journey routine.</w:t>
      </w:r>
    </w:p>
    <w:p>
      <w:pPr/>
      <w:r>
        <w:t>Mars contributes mobile workshops, improved settlement logistics, durable frames, weather systems, and a strong dusty frontier building palette. Repeatability comes from distinct channel basins, expedition routes, research samples with multiple uses, rover trials, and player-chosen outpost networks. A mature Mars settlement can become a second home with its own visual identity.</w:t>
      </w:r>
    </w:p>
    <w:p>
      <w:pPr/>
      <w:r>
        <w:rPr>
          <w:b/>
        </w:rPr>
        <w:t>Illustration subjects:</w:t>
      </w:r>
      <w:r>
        <w:t xml:space="preserve"> Windcut Tablelands rover panorama; Buried Delta overhead; Ochre Galleries field camp; Brine Scarps sampling; Rootstone Chambers traversal; dust-front shelter scene; frontier yard stages; both material specimens.</w:t>
      </w:r>
    </w:p>
    <w:p>
      <w:bookmarkStart w:id="24" w:name="chapter_24"/>
      <w:pPr>
        <w:pStyle w:val="Heading1"/>
      </w:pPr>
      <w:r>
        <w:t>Ceres</w:t>
      </w:r>
      <w:bookmarkEnd w:id="24"/>
    </w:p>
    <w:p>
      <w:pPr>
        <w:pStyle w:val="Heading3"/>
      </w:pPr>
      <w:r>
        <w:t>Identity and generation</w:t>
      </w:r>
    </w:p>
    <w:p>
      <w:pPr/>
      <w:r>
        <w:t>Ceres offers the pleasure of understanding a small, fractured world well enough to work with it. It is an optional industrial expedition, reached with Interplanetary capability. The main Moon–Mars route remains valid without it. A player who visits gains more efficient cargo handling, anchoring systems, processing options, and striking low-gravity construction sites. The destination is largely lifeless and should feel like a place the player is claiming through careful work.</w:t>
      </w:r>
    </w:p>
    <w:p>
      <w:pPr/>
      <w:r>
        <w:rPr>
          <w:b/>
        </w:rPr>
        <w:t>CE-S1 — Broken Crown.</w:t>
      </w:r>
      <w:r>
        <w:t xml:space="preserve"> An irregular chain of ridges and exposed blocks forms a natural route around the landing region. Long jumps and tethered crossings are possible, but dependable walking and anchor routes also exist. Resource exposures appear as readable broken faces and seams, not every surface covered with convenient ore. The skyline is angular, compact, and visually distinct from the Moon's broad crater language.</w:t>
      </w:r>
    </w:p>
    <w:p>
      <w:pPr/>
      <w:r>
        <w:rPr>
          <w:b/>
        </w:rPr>
        <w:t>CE-L1 — Rubble Mazes.</w:t>
      </w:r>
      <w:r>
        <w:t xml:space="preserve"> Shallow interlocking voids weave between huge fractured masses. Instead of a normal cave corridor, the player crosses gaps, circles blocks, and reads the same chamber from different angles. Some surfaces need braces before tools can be safely used. Tethers turn empty space into a route network. A useful generated variant is a stable central shaft surrounded by many incomplete side routes, allowing several styles of player-made access.</w:t>
      </w:r>
    </w:p>
    <w:p>
      <w:pPr/>
      <w:r>
        <w:rPr>
          <w:b/>
        </w:rPr>
        <w:t>CE-L2 — Ice Pockets.</w:t>
      </w:r>
      <w:r>
        <w:t xml:space="preserve"> Enclosed dark chambers contain localized fictional volatile-bearing deposits, reflective ice, and sealed fractures. Work changes the local atmosphere inside temporary containment equipment, making surveying and staged extraction more interesting than swinging a pick indefinitely. Smaller pockets reward a single visit; larger ones justify a modular processing rig. Material distribution encourages choosing a site rather than converting the whole moon-sized body into one quarry.</w:t>
      </w:r>
    </w:p>
    <w:p>
      <w:pPr/>
      <w:r>
        <w:rPr>
          <w:b/>
        </w:rPr>
        <w:t>CE-L3 — Anchorstone Spine.</w:t>
      </w:r>
      <w:r>
        <w:t xml:space="preserve"> Deep competent-looking rock forms long structural ribs amid the fractured surroundings. The challenge is tracing a continuous bearing surface for a tether terminal or excavation platform. Some ribs emerge at distant surface ridges, allowing the player to establish an elegant through-route. This creates an underground engineering landmark without requiring ancient machinery or a boss arena.</w:t>
      </w:r>
    </w:p>
    <w:p>
      <w:pPr>
        <w:pStyle w:val="Heading3"/>
      </w:pPr>
      <w:r>
        <w:t>Counterplay and rewards</w:t>
      </w:r>
    </w:p>
    <w:p>
      <w:pPr/>
      <w:r>
        <w:t>Loose blocks, drifting debris, and traction loss produce movement problems. Anchors, handrails, bracing foam, controlled tools, and enclosed cargo pods are the answers. All essential vacuum and temperature protection arrives aboard the ship. Equipment may lose alignment or need resetting after a clearly signaled local disturbance; the player's whole base does not tumble into space because of a background simulation.</w:t>
      </w:r>
    </w:p>
    <w:p>
      <w:pPr/>
      <w:r>
        <w:rPr>
          <w:b/>
        </w:rPr>
        <w:t>Dark-Ice Concentrate</w:t>
      </w:r>
      <w:r>
        <w:t xml:space="preserve"> is a fictional processed feedstock that improves storage and selected manufacturing routes. It is not a mandatory source of all spacecraft return fuel. </w:t>
      </w:r>
      <w:r>
        <w:rPr>
          <w:b/>
        </w:rPr>
        <w:t>Porous Nickel Matrix</w:t>
      </w:r>
      <w:r>
        <w:t xml:space="preserve"> is a fictional light structural medium for cargo racks, equipment frames, and vibration-isolated instruments. Alternative recipes elsewhere keep the principal journey open.</w:t>
      </w:r>
    </w:p>
    <w:p>
      <w:pPr/>
      <w:r>
        <w:t xml:space="preserve">The </w:t>
      </w:r>
      <w:r>
        <w:rPr>
          <w:b/>
        </w:rPr>
        <w:t>Tetherworks Controller</w:t>
      </w:r>
      <w:r>
        <w:t xml:space="preserve"> builds anchor footings, a supported work deck, cargo capture rails, a small processor, and an optional orbital transfer interface. </w:t>
      </w:r>
      <w:r>
        <w:rPr>
          <w:b/>
        </w:rPr>
        <w:t>Holdfast</w:t>
      </w:r>
      <w:r>
        <w:t xml:space="preserve"> is the signature engineering mission: map a stable route through Rubble Mazes to the Anchorstone Spine, install a sequence of verified anchors, and move a bulky instrument or cargo module through the completed route. Success depends on the route's quality and safety, not placing a fixed number of arbitrary quest blocks.</w:t>
      </w:r>
    </w:p>
    <w:p>
      <w:pPr>
        <w:pStyle w:val="Heading3"/>
      </w:pPr>
      <w:r>
        <w:t>Expedition and ongoing use</w:t>
      </w:r>
    </w:p>
    <w:p>
      <w:pPr/>
      <w:r>
        <w:t>A first crew arrives at Broken Crown with a compact lander and tether kit, samples an Ice Pocket, and returns before committing to a larger plant. A second expedition builds the Tetherworks and creates a dependable path through the Rubble Mazes. Ceres then supplies efficient cargo modules and industrial feedstock while providing a satisfying construction sandbox.</w:t>
      </w:r>
    </w:p>
    <w:p>
      <w:pPr/>
      <w:r>
        <w:t>Its repeatable value includes surveying alternative anchor lines, discovering unusually shaped pockets, expanding processing choices, and building dramatic suspended facilities. Outpost operations settle into a safe parked state when the player leaves. The location helps players who enjoy engineering; players focused on exploration can continue outward without a permanent extraction obligation.</w:t>
      </w:r>
    </w:p>
    <w:p>
      <w:pPr/>
      <w:r>
        <w:rPr>
          <w:b/>
        </w:rPr>
        <w:t>Illustration subjects:</w:t>
      </w:r>
      <w:r>
        <w:t xml:space="preserve"> Broken Crown tether crossing; Rubble Mazes navigation; Ice Pockets containment rig; Anchorstone Spine survey; Tetherworks assembly sequence; Holdfast cargo transfer; both material specimens.</w:t>
      </w:r>
    </w:p>
    <w:p>
      <w:bookmarkStart w:id="25" w:name="chapter_25"/>
      <w:pPr>
        <w:pStyle w:val="Heading1"/>
      </w:pPr>
      <w:r>
        <w:t>Europa</w:t>
      </w:r>
      <w:bookmarkEnd w:id="25"/>
    </w:p>
    <w:p>
      <w:pPr>
        <w:pStyle w:val="Heading3"/>
      </w:pPr>
      <w:r>
        <w:t>Identity and arrival</w:t>
      </w:r>
    </w:p>
    <w:p>
      <w:pPr/>
      <w:r>
        <w:t>Europa reverses the familiar relationship between land and sky. The player begins on an exposed frozen surface, descends through the ceiling of an alien sea, and eventually looks upward at ice instead of daylight. Its signature feeling is immense life and motion beneath an apparently spare exterior. The proposed ecology is overt game fiction, with a limited number of coherent families rather than every Earth ocean creature recolored.</w:t>
      </w:r>
    </w:p>
    <w:p>
      <w:pPr/>
      <w:r>
        <w:t>A Deep-Space vessel arrives with surface shielding, thermal reserves, a protected habitat, ice survey equipment, and a pressure-rated initial descent package manufactured earlier. The first underwater zone is within that equipment's certified game capability. Better locally crafted equipment opens deeper or more specialized routes. A basic vessel can always retrieve the initial package; the player is not obliged to discover a miracle sealant while already drowning.</w:t>
      </w:r>
    </w:p>
    <w:p>
      <w:pPr>
        <w:pStyle w:val="Heading3"/>
      </w:pPr>
      <w:r>
        <w:t>Generation grammar and named experiences</w:t>
      </w:r>
    </w:p>
    <w:p>
      <w:pPr/>
      <w:r>
        <w:rPr>
          <w:b/>
        </w:rPr>
        <w:t>EU-S1 — Fracture Plains.</w:t>
      </w:r>
      <w:r>
        <w:t xml:space="preserve"> Long dark seams divide broad fields of pale ice, with displaced ridges creating corridors and blind corners. Surface routes teach players to read safe crossing spans, active fractures, and survey sites. The generator ensures a useful initial bore location near the landing zone while leaving remote deep access sites for later. Jupiter can dominate selected vistas without becoming a landable background planet.</w:t>
      </w:r>
    </w:p>
    <w:p>
      <w:pPr/>
      <w:r>
        <w:rPr>
          <w:b/>
        </w:rPr>
        <w:t>EU-L1 — Blue Pressure Halls.</w:t>
      </w:r>
      <w:r>
        <w:t xml:space="preserve"> Thick ice contains galleries, sloped fissures, trapped cavities, and opaque walls that hint at movement beyond them. Instrument surveys reveal possible links before the player excavates. Some rooms are dry and shelter machinery; others contain water interfaces and require controlled openings. The architectural feeling is compressed, blue, and strangely quiet. Pressure doors and bracing projects turn precarious discovery into dependable access.</w:t>
      </w:r>
    </w:p>
    <w:p>
      <w:pPr/>
      <w:r>
        <w:rPr>
          <w:b/>
        </w:rPr>
        <w:t>EU-L2 — Lantern Ocean.</w:t>
      </w:r>
      <w:r>
        <w:t xml:space="preserve"> Beneath the main ice barrier, vertical water columns surround immense ice keels and scattered rock prominences. Proposed luminous drifters, grazing ribbons, and slow filter organisms make light itself a navigation language. Players follow currents, shelter behind terrain, and use tether reels or a compact submersible. Routes should have identifiable local landmarks; endless featureless open water is reserved for edges and atmosphere, not routine navigation.</w:t>
      </w:r>
    </w:p>
    <w:p>
      <w:pPr/>
      <w:r>
        <w:rPr>
          <w:b/>
        </w:rPr>
        <w:t>EU-L3 — Vent Gardens.</w:t>
      </w:r>
      <w:r>
        <w:t xml:space="preserve"> The deepest campaign region centers on warm-looking vent fields and richly patterned fictional colonies. Different gardens respond to light, vibration, flow, or mineral supply. Some seal routes during disturbance and reopen after calm conditions return. These are comprehensible ecological puzzles with fallback paths, not opaque multi-variable simulations. There can be defensive organisms and territorial hazards, but combat is only one part of the experience.</w:t>
      </w:r>
    </w:p>
    <w:p>
      <w:pPr>
        <w:pStyle w:val="Heading3"/>
      </w:pPr>
      <w:r>
        <w:t>Counterplay materials and the descent project</w:t>
      </w:r>
    </w:p>
    <w:p>
      <w:pPr/>
      <w:r>
        <w:t>Exposure at the surface is addressed through brought shielding and clearly designated shelter. In water, pressure, cold, current, and visibility each have a readable instrument and a distinct equipment response. Current arrows on instruments supplement physical particles; no single interface becomes mandatory for players who prefer environmental reading. Damaged underwater equipment offers a recovery interval and emergency ascent to a known refuge where possible.</w:t>
      </w:r>
    </w:p>
    <w:p>
      <w:pPr/>
      <w:r>
        <w:rPr>
          <w:b/>
        </w:rPr>
        <w:t>Cryoseal Gel</w:t>
      </w:r>
      <w:r>
        <w:t xml:space="preserve"> is a fictional biological or bio-inspired processing material for flexible cold-resistant seals and repair patches. </w:t>
      </w:r>
      <w:r>
        <w:rPr>
          <w:b/>
        </w:rPr>
        <w:t>Resonant Silica</w:t>
      </w:r>
      <w:r>
        <w:t xml:space="preserve"> comes from specific mineral-and-colony interfaces and improves acoustic sensing. It forms pale porous laminae with fine ribbed structure, visually distinct from Earth's pale-shelled, smoky-core resonant quartz. Earth quartz reads the established unusual trace family; Europa silica is an acoustic medium. Neither automatically replaces the other. First useful samples occur at an accessible upper-ocean interface within the imported equipment's operating envelope. Cryoseal feedstock can be cultivated in contained modules, while managed mineral substrates support the defined silica-growth process after discovery; the two sources remain distinct.</w:t>
      </w:r>
    </w:p>
    <w:p>
      <w:pPr/>
      <w:r>
        <w:t xml:space="preserve">The </w:t>
      </w:r>
      <w:r>
        <w:rPr>
          <w:b/>
        </w:rPr>
        <w:t>Ice Descent Controller</w:t>
      </w:r>
      <w:r>
        <w:t xml:space="preserve"> stages a shielded surface hut, instrumented bore, protected shaft, pressure lock, submerged dock, and optional deeper refuge. </w:t>
      </w:r>
      <w:r>
        <w:rPr>
          <w:b/>
        </w:rPr>
        <w:t>Where the Ceiling Glows</w:t>
      </w:r>
      <w:r>
        <w:t xml:space="preserve"> is the signature mission: trace a pulsing illumination pattern through Lantern Ocean, learn which disturbances alter it, and place a non-destructive observatory beside a Vent Garden. The payoff is discovering a relationship among currents, organisms, and safe routes, with new sensing tools as the practical reward.</w:t>
      </w:r>
    </w:p>
    <w:p>
      <w:pPr>
        <w:pStyle w:val="Heading3"/>
      </w:pPr>
      <w:r>
        <w:t>Expedition and return home impact</w:t>
      </w:r>
    </w:p>
    <w:p>
      <w:pPr/>
      <w:r>
        <w:t>The first major expedition establishes the bore, enters Blue Pressure Halls, and reaches a small anchored dock overlooking Lantern Ocean. A later sortie follows a mapped current corridor, samples a quiet garden, and returns before a predictable vent-cycle change. This sequence makes the first sight of the ocean a substantial milestone.</w:t>
      </w:r>
    </w:p>
    <w:p>
      <w:pPr/>
      <w:r>
        <w:t>Europa brings stronger aquatic exploration, cold-region habitats, sonar-like survey options, living research displays, and a blue luminous material palette back to Earth. Repeat visits explore different garden behaviors, vertical cave geometry, rare sensory organisms, and additional refuge sites. Ecological restoration and observation should be equally legitimate late activities beside harvesting.</w:t>
      </w:r>
    </w:p>
    <w:p>
      <w:pPr/>
      <w:r>
        <w:rPr>
          <w:b/>
        </w:rPr>
        <w:t>Illustration subjects:</w:t>
      </w:r>
      <w:r>
        <w:t xml:space="preserve"> Fracture Plains with Jupiter; Blue Pressure Halls breach; Lantern Ocean reveal; Vent Gardens research encounter; compact submersible and submerged dock; Ice Descent stages; representative drifter, ribbon grazer, and filter colony; both material specimens.</w:t>
      </w:r>
    </w:p>
    <w:p>
      <w:bookmarkStart w:id="26" w:name="chapter_26"/>
      <w:pPr>
        <w:pStyle w:val="Heading1"/>
      </w:pPr>
      <w:r>
        <w:t>Io</w:t>
      </w:r>
      <w:bookmarkEnd w:id="26"/>
    </w:p>
    <w:p>
      <w:pPr>
        <w:pStyle w:val="Heading3"/>
      </w:pPr>
      <w:r>
        <w:t>Identity and arrival</w:t>
      </w:r>
    </w:p>
    <w:p>
      <w:pPr/>
      <w:r>
        <w:t xml:space="preserve">Io is a high-energy optional branch for players who enjoy engineering under changing conditions. Its central verb is </w:t>
      </w:r>
      <w:r>
        <w:rPr>
          <w:b/>
        </w:rPr>
        <w:t>time</w:t>
      </w:r>
      <w:r>
        <w:t>: time a crossing, schedule extraction, open a heat path, retreat before a clearly forecast event. It is predominantly lifeless. Awe comes from volcanic motion, glowing fissures, vast plumes seen at safe distances, and the player building a precise pocket of order in a hostile landscape.</w:t>
      </w:r>
    </w:p>
    <w:p>
      <w:pPr/>
      <w:r>
        <w:t>The Deep-Space approach carries heat protection, chemical shielding, filtered equipment enclosures, a hardened lander, and replaceable exposed tool parts. Local discoveries improve energy systems after the first successful expedition. The main route through Europa and Titan remains possible without Io materials, and a player should not need to own a remote industrial complex here to reach Pluto.</w:t>
      </w:r>
    </w:p>
    <w:p>
      <w:pPr>
        <w:pStyle w:val="Heading3"/>
      </w:pPr>
      <w:r>
        <w:t>Generation grammar and named experiences</w:t>
      </w:r>
    </w:p>
    <w:p>
      <w:pPr/>
      <w:r>
        <w:rPr>
          <w:b/>
        </w:rPr>
        <w:t>IO-S1 — Sulfur Terraces.</w:t>
      </w:r>
      <w:r>
        <w:t xml:space="preserve"> Wide colored shelves surround fissure fields, with channels and hardened ridges defining movement. Safe initial landing shelves sit away from active fronts. Remote viewpoints reveal slow changes across the field, so an expedition can plan its route before departing. Surface palettes use restrained yellow, charcoal, ash-white, and localized orange glow; uniform neon ground would reduce clarity.</w:t>
      </w:r>
    </w:p>
    <w:p>
      <w:pPr/>
      <w:r>
        <w:rPr>
          <w:b/>
        </w:rPr>
        <w:t>IO-L1 — Cooling Galleries.</w:t>
      </w:r>
      <w:r>
        <w:t xml:space="preserve"> Recently cooled-looking passages alternate smooth walls, brittle crusts, and hollow flow channels. Thermal readings identify sections that can be crossed now and areas best left alone. Some corridors briefly vent along marked seams; players construct shielded pauses between them. These events are authored and local, with stable bypasses around critical access routes.</w:t>
      </w:r>
    </w:p>
    <w:p>
      <w:pPr/>
      <w:r>
        <w:rPr>
          <w:b/>
        </w:rPr>
        <w:t>IO-L2 — Pressure Orchards.</w:t>
      </w:r>
      <w:r>
        <w:t xml:space="preserve"> The name refers to branching mineral chimneys, not plant life. Tall forms release periodic plumes and resonate before an event. Routes weave between chimney bases, climb insulated gantries, or cross overhead shelves. The player's task is to understand the pattern, record it, and build within safe intervals. Repeated layouts can vary timing families and branch geometry without generating impossible combinations.</w:t>
      </w:r>
    </w:p>
    <w:p>
      <w:pPr/>
      <w:r>
        <w:rPr>
          <w:b/>
        </w:rPr>
        <w:t>IO-L3 — Furnace Wells.</w:t>
      </w:r>
      <w:r>
        <w:t xml:space="preserve"> Deep vertical chambers expose a concentrated heat source behind thick, readable barriers. The player reaches viewing and maintenance shelves around the active center rather than swimming through arbitrary instant-death lava. Mechanical shutters, heat exchangers, and shielded service routes produce a visually dramatic industrial challenge. A natural return chimney connects some wells to distant surface ridges.</w:t>
      </w:r>
    </w:p>
    <w:p>
      <w:pPr>
        <w:pStyle w:val="Heading3"/>
      </w:pPr>
      <w:r>
        <w:t>Counterplay and project structure</w:t>
      </w:r>
    </w:p>
    <w:p>
      <w:pPr/>
      <w:r>
        <w:t>Thermal buildup is shown through suit instruments, visible machinery discoloration, and environmental sound before failure. Chemical exposure affects exposed components with understandable service needs. Eruption events obey a bounded local calendar and announce their danger zones; terrain critical to the lander and sole exit does not vanish unpredictably. Offworld absence pauses active extraction campaigns or parks the facility in a stable state.</w:t>
      </w:r>
    </w:p>
    <w:p>
      <w:pPr/>
      <w:r>
        <w:rPr>
          <w:b/>
        </w:rPr>
        <w:t>Thermal Spine Crystal</w:t>
      </w:r>
      <w:r>
        <w:t xml:space="preserve"> is a fictional mineral that stabilizes selected heat-transfer equipment. </w:t>
      </w:r>
      <w:r>
        <w:rPr>
          <w:b/>
        </w:rPr>
        <w:t>Sulfur Ceramic</w:t>
      </w:r>
      <w:r>
        <w:t xml:space="preserve"> is a fictional processed shielding material for industrial enclosures and decorative panels. Their advantage is better use of heat and harsher operating envelopes, not infinite power or universal invulnerability.</w:t>
      </w:r>
    </w:p>
    <w:p>
      <w:pPr/>
      <w:r>
        <w:t xml:space="preserve">The </w:t>
      </w:r>
      <w:r>
        <w:rPr>
          <w:b/>
        </w:rPr>
        <w:t>Heatworks Controller</w:t>
      </w:r>
      <w:r>
        <w:t xml:space="preserve"> creates a survey mast, shielded workshop, heat-exchanger foundation, protected extraction arm, and safe storage modules. </w:t>
      </w:r>
      <w:r>
        <w:rPr>
          <w:b/>
        </w:rPr>
        <w:t>Borrowed Fire</w:t>
      </w:r>
      <w:r>
        <w:t xml:space="preserve"> is the signature operation: chart a Furnace Well, install equipment in stages during known safe windows, then run a short commissioning cycle and withdraw with the first product batch. Later automation reduces manual supervision while the region is active. It follows the same participant-based pause rules as other production. The initial feat remains an expedition involving terrain and timing.</w:t>
      </w:r>
    </w:p>
    <w:p>
      <w:pPr>
        <w:pStyle w:val="Heading3"/>
      </w:pPr>
      <w:r>
        <w:t>Expedition and ongoing relevance</w:t>
      </w:r>
    </w:p>
    <w:p>
      <w:pPr/>
      <w:r>
        <w:t>A sample sortie crosses Sulfur Terraces during a quiet period, surveys a Cooling Gallery, establishes two shielded pauses, and observes Pressure Orchards without extracting anything. After preparing the route, the player brings a compact Heatworks kit and completes the first Furnace Well cycle. Survey knowledge matters as much as the cargo brought back.</w:t>
      </w:r>
    </w:p>
    <w:p>
      <w:pPr/>
      <w:r>
        <w:t>Io rewards Earth and planetary settlements with heat reclamation, efficient foundry attachments, industrial lighting, and durable service modules. Repeatability comes from different operating windows, more elegant routes, alternative well geometry, and optional advanced machinery. Its completion is a proud engineering achievement; its existence does not force every player into continuous hazard maintenance.</w:t>
      </w:r>
    </w:p>
    <w:p>
      <w:pPr/>
      <w:r>
        <w:rPr>
          <w:b/>
        </w:rPr>
        <w:t>Illustration subjects:</w:t>
      </w:r>
      <w:r>
        <w:t xml:space="preserve"> Sulfur Terraces approach; Cooling Galleries protected crossing; Pressure Orchards plume cycle; Furnace Wells service gantry; Heatworks stages; Borrowed Fire commissioning scene; both material specimens.</w:t>
      </w:r>
    </w:p>
    <w:p>
      <w:bookmarkStart w:id="27" w:name="chapter_27"/>
      <w:pPr>
        <w:pStyle w:val="Heading1"/>
      </w:pPr>
      <w:r>
        <w:t>Titan</w:t>
      </w:r>
      <w:bookmarkEnd w:id="27"/>
    </w:p>
    <w:p>
      <w:pPr>
        <w:pStyle w:val="Heading3"/>
      </w:pPr>
      <w:r>
        <w:t>Identity and arrival</w:t>
      </w:r>
    </w:p>
    <w:p>
      <w:pPr/>
      <w:r>
        <w:t>Titan offers a dense atmospheric mood after the starkness of vacuum destinations. The intended palette is amber haze, dark liquid, pale frost, and occasional luminous life below. Landforms reveal themselves in layers through changing visibility. Movement alternates among shoreline travel, supported flight, sheltered passages, and deep hollow terrain. The proposed liquids, living systems, and usable materials are fictional gameplay interpretations.</w:t>
      </w:r>
    </w:p>
    <w:p>
      <w:pPr/>
      <w:r>
        <w:t>The arrival ship brings environmental protection, appropriate seals, instruments that function in limited visibility, and a shelter able to handle the local atmosphere. First excursions use safe shoreline shelves and mapped ground routes. Specialized atmospheric craft become useful after a landing base exists, but there is always a viable first-landing route without a locally built flying machine.</w:t>
      </w:r>
    </w:p>
    <w:p>
      <w:pPr>
        <w:pStyle w:val="Heading3"/>
      </w:pPr>
      <w:r>
        <w:t>Generation grammar and named experiences</w:t>
      </w:r>
    </w:p>
    <w:p>
      <w:pPr/>
      <w:r>
        <w:rPr>
          <w:b/>
        </w:rPr>
        <w:t>TI-S1 — Amber Littoral.</w:t>
      </w:r>
      <w:r>
        <w:t xml:space="preserve"> Dark lakes and branching shorelines meet ridges that fade into orange distance. Natural harbors and high shelves invite outposts, while separated peninsulas create meaningful travel choices. The liquids have specific visible identities and interaction rules; players should never mistake a hazardous lake for ordinary drinking water. Weather changes sightlines and available routes without constantly destroying bases.</w:t>
      </w:r>
    </w:p>
    <w:p>
      <w:pPr/>
      <w:r>
        <w:rPr>
          <w:b/>
        </w:rPr>
        <w:t>TI-L1 — Waxstone Canyons.</w:t>
      </w:r>
      <w:r>
        <w:t xml:space="preserve"> Soft-looking, sculpted underground passages curve beneath the shores. Layered deposits create ridges, alcoves, and narrow slots where sound and instruments help navigation. Material textures suggest wax and resin without implying every wall is flammable. The first underground campaign uses recognizable channel junctions, relief camps, and mapmaking. Some canyons open into sheltered surface depressions that become secondary entrances.</w:t>
      </w:r>
    </w:p>
    <w:p>
      <w:pPr/>
      <w:r>
        <w:rPr>
          <w:b/>
        </w:rPr>
        <w:t>TI-L2 — Hollow Weather.</w:t>
      </w:r>
      <w:r>
        <w:t xml:space="preserve"> Enormous enclosed voids contain local fog banks, drips, suspended particles, and thermal-looking circulation. The player climbs between ledges or uses a compact supported flight craft in certified local volumes. Visibility can clear along currents, exposing distant anchor sites. This layer turns weather into a spatial puzzle: discover the observation point, predict a clear interval, place a relay, then create a dependable route.</w:t>
      </w:r>
    </w:p>
    <w:p>
      <w:pPr/>
      <w:r>
        <w:rPr>
          <w:b/>
        </w:rPr>
        <w:t>TI-L3 — Slow Gardens.</w:t>
      </w:r>
      <w:r>
        <w:t xml:space="preserve"> Fictional mat colonies, membrane fans, and drifting seed-like bodies occupy sheltered mineral interfaces. Their response to player activity is slow but clearly previewed: a colony folds, releases vapor, or redirects a small flow. Sampling requires patience, lighting choices, and collection tools. The world should avoid another Earthlike jungle with ordinary trunks and grass; its life is low, suspended, folded, and distributed across surfaces.</w:t>
      </w:r>
    </w:p>
    <w:p>
      <w:pPr>
        <w:pStyle w:val="Heading3"/>
      </w:pPr>
      <w:r>
        <w:t>Counterplay and rewards</w:t>
      </w:r>
    </w:p>
    <w:p>
      <w:pPr/>
      <w:r>
        <w:t>Low visibility is addressed through shore markers, radar-like readings, local beacons, and durable physical routes. Hazardous liquids use clear material cues and suit warnings. Cold and chemical exposure are managed with equipment brought from prior destinations. Weather creates detours and shelter decisions; reliable forecasts bound the risk. Taking shelter should feel like sensible expedition play, not lost time imposed by an arbitrary timer.</w:t>
      </w:r>
    </w:p>
    <w:p>
      <w:pPr/>
      <w:r>
        <w:rPr>
          <w:b/>
        </w:rPr>
        <w:t>Amber Polymer</w:t>
      </w:r>
      <w:r>
        <w:t xml:space="preserve"> is a fictional flexible material for cold-environment housings, seals, and lightweight structures. </w:t>
      </w:r>
      <w:r>
        <w:rPr>
          <w:b/>
        </w:rPr>
        <w:t>Liftweave Membrane</w:t>
      </w:r>
      <w:r>
        <w:t xml:space="preserve"> supports specialized balloonlike or buoyant local craft and selected habitat skins within the game's simplified engineering. Neither requires an unsupported claim about real Titan chemistry. Both offer new shapes and movement options instead of a straight armor-stat escalation.</w:t>
      </w:r>
    </w:p>
    <w:p>
      <w:pPr/>
      <w:r>
        <w:t xml:space="preserve">The </w:t>
      </w:r>
      <w:r>
        <w:rPr>
          <w:b/>
        </w:rPr>
        <w:t>Harbor Lantern Controller</w:t>
      </w:r>
      <w:r>
        <w:t xml:space="preserve"> constructs a raised refuge, shore beacon, sealed dock, weather mast, sample lab, and later an atmospheric craft hangar. </w:t>
      </w:r>
      <w:r>
        <w:rPr>
          <w:b/>
        </w:rPr>
        <w:t>A Route Through the Haze</w:t>
      </w:r>
      <w:r>
        <w:t xml:space="preserve"> asks the player to connect several observation stations from Amber Littoral into Hollow Weather, then use the improved route to study a Slow Garden. Completing it makes a whole region more intelligible and traversable.</w:t>
      </w:r>
    </w:p>
    <w:p>
      <w:pPr>
        <w:pStyle w:val="Heading3"/>
      </w:pPr>
      <w:r>
        <w:t>Expedition and homecoming</w:t>
      </w:r>
    </w:p>
    <w:p>
      <w:pPr/>
      <w:r>
        <w:t>A first trip follows the shoreline to a sheltered canyon entrance, sets a waypoint camp, and returns with polymer feedstock. The next trip enters Hollow Weather during a known clear interval and deploys a small mapping instrument. With the Harbor Lantern expanded, the player explores a Slow Garden and commissions a local atmospheric vehicle.</w:t>
      </w:r>
    </w:p>
    <w:p>
      <w:pPr/>
      <w:r>
        <w:t>Titan contributes lightweight field structures, flexible equipment, weather mapping, unfamiliar decorative materials, and a fresh approach to local flight. Repeat visits reveal different shore networks, fog behaviors, colony interactions, and ideal harbor sites. An established Titan town should look like something built for Titan, with raised decks, glowing markers, enclosed walkways, and carefully sheltered gathering spaces.</w:t>
      </w:r>
    </w:p>
    <w:p>
      <w:pPr/>
      <w:r>
        <w:rPr>
          <w:b/>
        </w:rPr>
        <w:t>Illustration subjects:</w:t>
      </w:r>
      <w:r>
        <w:t xml:space="preserve"> Amber Littoral harbor; Waxstone Canyons route; Hollow Weather traversal; Slow Gardens sampling; supported atmospheric craft; Harbor Lantern stages; mat colony, membrane fan, and drifting seed form; both material specimens.</w:t>
      </w:r>
    </w:p>
    <w:p>
      <w:bookmarkStart w:id="28" w:name="chapter_28"/>
      <w:pPr>
        <w:pStyle w:val="Heading1"/>
      </w:pPr>
      <w:r>
        <w:t>Pluto</w:t>
      </w:r>
      <w:bookmarkEnd w:id="28"/>
    </w:p>
    <w:p>
      <w:pPr>
        <w:pStyle w:val="Heading3"/>
      </w:pPr>
      <w:r>
        <w:t>Identity and arrival</w:t>
      </w:r>
    </w:p>
    <w:p>
      <w:pPr/>
      <w:r>
        <w:t>Pluto should feel far away through composition and routine, not through forcing the player to watch hours of travel. Sunlight is represented as distant and restrained; the sky, silence, long shadows, and careful use of artificial warmth carry the experience. The destination asks what a self-contained expedition really needs and gives the player time to notice subtle patterns.</w:t>
      </w:r>
    </w:p>
    <w:p>
      <w:pPr/>
      <w:r>
        <w:t>A Deep-Space craft arrives with long-duration power, insulation, redundant essential supplies, a portable refuge, and complete return capability. No mysterious local material is required to keep that equipment operating on arrival. Pluto's campaign can end satisfyingly with a completed distant observatory and a return to Earth. The proposed Afterlight route is a major further choice, not a mandatory final errand appended to the moment.</w:t>
      </w:r>
    </w:p>
    <w:p>
      <w:pPr>
        <w:pStyle w:val="Heading3"/>
      </w:pPr>
      <w:r>
        <w:t>Generation grammar and named experiences</w:t>
      </w:r>
    </w:p>
    <w:p>
      <w:pPr/>
      <w:r>
        <w:rPr>
          <w:b/>
        </w:rPr>
        <w:t>PL-S1 — Long Shadow Plain.</w:t>
      </w:r>
      <w:r>
        <w:t xml:space="preserve"> Broad quiet expanses are interrupted by low ridges, frozen textures, and isolated dark protrusions. Lighting and silhouettes identify landmarks over distance. Small differences matter: a ridge with a continuous shadow, a reflective seam, a hollow that does not accumulate the same surface texture. The generator uses restraint; filling every vista with huge towers would undermine the remoteness.</w:t>
      </w:r>
    </w:p>
    <w:p>
      <w:pPr/>
      <w:r>
        <w:rPr>
          <w:b/>
        </w:rPr>
        <w:t>PL-L1 — Frost Fold.</w:t>
      </w:r>
      <w:r>
        <w:t xml:space="preserve"> Shallow layered cavities resemble overlapping sheets and compressed folds. Routes follow broad planes that suddenly tighten into thin passages, then open around preserved voids. Sheltered chambers become warm visual islands around lamps and expedition equipment. The player reads fold orientation to anticipate how passages connect, making patient observation more useful than random tunneling.</w:t>
      </w:r>
    </w:p>
    <w:p>
      <w:pPr/>
      <w:r>
        <w:rPr>
          <w:b/>
        </w:rPr>
        <w:t>PL-L2 — Nightglass Rifts.</w:t>
      </w:r>
      <w:r>
        <w:t xml:space="preserve"> Deep dark fractures contain reflective fictional material with subtle directional effects. Survey beams split or disappear at particular surfaces, creating an optical route-finding challenge with physical clues and manual alternatives. Ledge systems emphasize careful lighting and anchors. Occasional openings align with a distant surface exposure, allowing a striking line of sight across several levels.</w:t>
      </w:r>
    </w:p>
    <w:p>
      <w:pPr/>
      <w:r>
        <w:rPr>
          <w:b/>
        </w:rPr>
        <w:t>PL-L3 — Quiet Lens.</w:t>
      </w:r>
      <w:r>
        <w:t xml:space="preserve"> A rare chamber system forms a natural-looking alignment of reflective faces and preserved deposits. It appears to focus or organize faint signals associated with the broader SUBSTELLAR mystery. This is not another ruined city. The player's installation is the visible machinery: instruments, mounts, calibration targets, and a protected observation room. The structure's origin and meaning can remain uncertain until the wider narrative decides.</w:t>
      </w:r>
    </w:p>
    <w:p>
      <w:pPr>
        <w:pStyle w:val="Heading3"/>
      </w:pPr>
      <w:r>
        <w:t>Counterplay discoveries and the campaign resolution</w:t>
      </w:r>
    </w:p>
    <w:p>
      <w:pPr/>
      <w:r>
        <w:t>Cold and power discipline are visible and planned, with shelter intervals and instruments that announce remaining range. Long-distance navigation uses marked ridges, beacons, and the lander's map. Survey distortion is localized and recognizable; it never erases the player's basic ability to return. The destination's tension is precision and distance rather than a larger set of invisible lethal modifiers.</w:t>
      </w:r>
    </w:p>
    <w:p>
      <w:pPr/>
      <w:r>
        <w:rPr>
          <w:b/>
        </w:rPr>
        <w:t>Nightglass</w:t>
      </w:r>
      <w:r>
        <w:t xml:space="preserve"> is a fictional optical material for low-light instruments and navigational arrays. </w:t>
      </w:r>
      <w:r>
        <w:rPr>
          <w:b/>
        </w:rPr>
        <w:t>Memory Frost</w:t>
      </w:r>
      <w:r>
        <w:t xml:space="preserve"> is a fictional sample medium whose layered pattern can preserve a record for analysis. It is a research material rather than an infinite data crystal. Once properly studied, its key findings remain in the expedition archive; losing a later physical sample does not erase the completed campaign.</w:t>
      </w:r>
    </w:p>
    <w:p>
      <w:pPr/>
      <w:r>
        <w:t xml:space="preserve">The </w:t>
      </w:r>
      <w:r>
        <w:rPr>
          <w:b/>
        </w:rPr>
        <w:t>Far Observatory Controller</w:t>
      </w:r>
      <w:r>
        <w:t xml:space="preserve"> stages a refuge, power module, alignment plinths, optical instruments, and a deep observation annex. </w:t>
      </w:r>
      <w:r>
        <w:rPr>
          <w:b/>
        </w:rPr>
        <w:t>The Last Familiar Sky</w:t>
      </w:r>
      <w:r>
        <w:t xml:space="preserve"> asks the player to compare surface observations with the Quiet Lens and solve a bounded alignment sequence. Completion produces a trustworthy route hypothesis toward Afterlight and a compelling scientific-looking landmark the player built. A route alone does not instantly conjure an Interstellar ship.</w:t>
      </w:r>
    </w:p>
    <w:p>
      <w:pPr>
        <w:pStyle w:val="Heading3"/>
      </w:pPr>
      <w:r>
        <w:t>Expedition and repeatability</w:t>
      </w:r>
    </w:p>
    <w:p>
      <w:pPr/>
      <w:r>
        <w:t>A first sortie crosses Long Shadow Plain to a shelter site, descends through Frost Fold, and locates the edge of Nightglass Rifts. The player returns, commissions improved optics from samples, and prepares the Quiet Lens investigation. Completing the observatory then creates a deliberate choice: return and celebrate the Solar System campaign, or begin the substantial Interstellar construction project.</w:t>
      </w:r>
    </w:p>
    <w:p>
      <w:pPr/>
      <w:r>
        <w:t>Pluto adds long-range instrumentation, remote outpost autonomy, dark reflective construction accents, and a personal landmark at the familiar system's edge. Repeat value comes from additional lens configurations, distant mapping, observatory construction, and quiet exploration. Its emptiness must feel intentional and rewarding, with enough authored discoveries to justify the journey.</w:t>
      </w:r>
    </w:p>
    <w:p>
      <w:pPr/>
      <w:r>
        <w:rPr>
          <w:b/>
        </w:rPr>
        <w:t>Illustration subjects:</w:t>
      </w:r>
      <w:r>
        <w:t xml:space="preserve"> Long Shadow Plain refuge; Frost Fold camp; Nightglass Rifts optical survey; Quiet Lens instrument chamber; Far Observatory stages; The Last Familiar Sky alignment; both material specimens.</w:t>
      </w:r>
    </w:p>
    <w:p>
      <w:bookmarkStart w:id="29" w:name="chapter_29"/>
      <w:pPr>
        <w:pStyle w:val="Heading1"/>
      </w:pPr>
      <w:r>
        <w:t>Afterlight</w:t>
      </w:r>
      <w:bookmarkEnd w:id="29"/>
    </w:p>
    <w:p>
      <w:pPr>
        <w:pStyle w:val="Heading3"/>
      </w:pPr>
      <w:r>
        <w:t>Role in the larger story</w:t>
      </w:r>
    </w:p>
    <w:p>
      <w:pPr/>
      <w:r>
        <w:rPr>
          <w:b/>
        </w:rPr>
        <w:t>Afterlight</w:t>
      </w:r>
      <w:r>
        <w:t xml:space="preserve"> is a proposed working name: light arriving after its source has moved beyond the familiar horizon, and the continued work that follows an apparent ending. Its existence should be hinted at through a consistent set of observations, with Earth as the beginning of the mystery. The same visual motif can recur sparingly in Earth's deepest upper-crust regions, on selected space instruments, and in Pluto's signal data. This does not redefine Earth's deepest region as the literal planetary core.</w:t>
      </w:r>
    </w:p>
    <w:p>
      <w:pPr/>
      <w:r>
        <w:t xml:space="preserve">The system contains two proposed playable worlds, </w:t>
      </w:r>
      <w:r>
        <w:rPr>
          <w:b/>
        </w:rPr>
        <w:t>Cairn</w:t>
      </w:r>
      <w:r>
        <w:t xml:space="preserve"> and </w:t>
      </w:r>
      <w:r>
        <w:rPr>
          <w:b/>
        </w:rPr>
        <w:t>Morrow</w:t>
      </w:r>
      <w:r>
        <w:t>. Cairn concerns interpretation and memory; Morrow concerns life and what the player chooses to build. The transition expands the palette while preserving Minecraft legibility. Block forms, tools, gravity cues, and cause-and-effect remain understandable even when the scenery becomes strange.</w:t>
      </w:r>
    </w:p>
    <w:p>
      <w:pPr/>
      <w:r>
        <w:t>An Interstellar voyage requires a commissioned vessel, route calibration, independent survival modules, and an abort or return plan established before departure. Cairn provides knowledge needed to chart a safe local approach to Morrow. That is a destination-navigation discovery, not a requirement to build emergency life support from materials found only on Morrow. Afterlight should be developed only when the earlier game already earns the grandeur of this reveal.</w:t>
      </w:r>
    </w:p>
    <w:p>
      <w:bookmarkStart w:id="30" w:name="chapter_30"/>
      <w:pPr>
        <w:pStyle w:val="Heading1"/>
      </w:pPr>
      <w:r>
        <w:t>Cairn</w:t>
      </w:r>
      <w:bookmarkEnd w:id="30"/>
    </w:p>
    <w:p>
      <w:pPr>
        <w:pStyle w:val="Heading3"/>
      </w:pPr>
      <w:r>
        <w:t>Identity and generation</w:t>
      </w:r>
    </w:p>
    <w:p>
      <w:pPr/>
      <w:r>
        <w:t>Cairn is a fractured, mostly lifeless world with monumental negative space. It is the first destination where an unmistakably authored anomalous structure may be appropriate, because previous worlds have not all spent that device. The mood is neither generic magical purple terrain nor constant ruin tourism. Natural strata occupy most of the world; one coherent family of extraordinary structures becomes the focus of the campaign.</w:t>
      </w:r>
    </w:p>
    <w:p>
      <w:pPr/>
      <w:r>
        <w:rPr>
          <w:b/>
        </w:rPr>
        <w:t>CA-S1 — Shard March.</w:t>
      </w:r>
      <w:r>
        <w:t xml:space="preserve"> Vast tilted plates and long broken corridors interrupt a pale, spare surface. Some plates align across impossible-looking distances while still yielding readable walking paths, ramps, and tether routes. The first safe landing sits in a broad stable pocket with a clear view of the return vessel. Optional routes climb the edges of plates to reveal the world's larger geometry.</w:t>
      </w:r>
    </w:p>
    <w:p>
      <w:pPr/>
      <w:r>
        <w:rPr>
          <w:b/>
        </w:rPr>
        <w:t>CA-L1 — Inverted Terraces.</w:t>
      </w:r>
      <w:r>
        <w:t xml:space="preserve"> Caves open around enormous stepped overhangs, with ceiling geometry echoing the terrain below. Gravity remains consistent for ordinary movement; the visual surprise does not require a fully dynamic gravity simulation. Surveying finds places where ledges line up through separated rooms. Bridges, lifts, and careful excavation create continuous routes through a landscape that initially seems disjointed.</w:t>
      </w:r>
    </w:p>
    <w:p>
      <w:pPr/>
      <w:r>
        <w:rPr>
          <w:b/>
        </w:rPr>
        <w:t>CA-L2 — Palimpsest Halls.</w:t>
      </w:r>
      <w:r>
        <w:t xml:space="preserve"> Deep chambers contain layered markings and built-looking surfaces whose patterns overlap rather than presenting a convenient wall of exposition. The player compares records from different rooms, notices repeated absences, and reconstructs a sequence through bounded puzzles. Most of the environment remains touchable and mineable under normal rules, while clearly distinct protected components preserve important authored logic.</w:t>
      </w:r>
    </w:p>
    <w:p>
      <w:pPr/>
      <w:r>
        <w:rPr>
          <w:b/>
        </w:rPr>
        <w:t>CA-L3 — Witness Engine.</w:t>
      </w:r>
      <w:r>
        <w:t xml:space="preserve"> One major anomalous installation is proposed for the first campaign region. Its “engine” name is an explorer's interpretation, not a confirmed origin claim. It reacts to instruments and physical alignments with comprehensible local changes: opening a shutter, exposing a channel, redirecting a beam, or revealing a navigation pattern. It does not give the player omnipotent matter creation.</w:t>
      </w:r>
    </w:p>
    <w:p>
      <w:pPr>
        <w:pStyle w:val="Heading3"/>
      </w:pPr>
      <w:r>
        <w:t>Counterplay and discovery</w:t>
      </w:r>
    </w:p>
    <w:p>
      <w:pPr/>
      <w:r>
        <w:t>Unstable-looking geometry is separated from truly active puzzle machinery through sound, material treatment, and readable instruments. A bounded anomaly can interfere with one instrument type at a time while ordinary lights, markers, and movement remain reliable. Essential arrival shelter uses conventional systems already proven in the Solar System. There is no surprise rule that invalidates every familiar item once the player lands.</w:t>
      </w:r>
    </w:p>
    <w:p>
      <w:pPr/>
      <w:r>
        <w:rPr>
          <w:b/>
        </w:rPr>
        <w:t>Palimpsest Plate</w:t>
      </w:r>
      <w:r>
        <w:t xml:space="preserve"> is a fictional recoverable structural medium from designated fragments and deposits, useful for archival interfaces and selected precision equipment. </w:t>
      </w:r>
      <w:r>
        <w:rPr>
          <w:b/>
        </w:rPr>
        <w:t>Phase Tine</w:t>
      </w:r>
      <w:r>
        <w:t xml:space="preserve"> is a fictional resonant component for tightly scoped mechanisms such as anomaly sensors or local alignment devices. Both need explicit rule limits. Neither becomes an excuse for free teleportation, infinite energy, or arbitrary terrain rewriting.</w:t>
      </w:r>
    </w:p>
    <w:p>
      <w:pPr/>
      <w:r>
        <w:t xml:space="preserve">The </w:t>
      </w:r>
      <w:r>
        <w:rPr>
          <w:b/>
        </w:rPr>
        <w:t>Witness Camp Controller</w:t>
      </w:r>
      <w:r>
        <w:t xml:space="preserve"> stages an ordinary refuge first, then a comparison lab, secure sample store, observation deck, and interface gantry. </w:t>
      </w:r>
      <w:r>
        <w:rPr>
          <w:b/>
        </w:rPr>
        <w:t>What Remains in the Gaps</w:t>
      </w:r>
      <w:r>
        <w:t xml:space="preserve"> asks the player to assemble a sequence from incomplete environmental observations, operate the Witness Engine safely, and derive a local route to Morrow. The encounter can incorporate the established story's characters through messages or companions without inventing a replacement cast here.</w:t>
      </w:r>
    </w:p>
    <w:p>
      <w:pPr>
        <w:pStyle w:val="Heading3"/>
      </w:pPr>
      <w:r>
        <w:t>Expedition and homecoming</w:t>
      </w:r>
    </w:p>
    <w:p>
      <w:pPr/>
      <w:r>
        <w:t>A first trip establishes Witness Camp in Shard March and surveys Inverted Terraces. A second visits Palimpsest Halls using observations from Earth and Pluto, then returns with a recoverable fragment and a better model of the place. The final local mission commissions an interface to the Witness Engine and charts Morrow while preserving an independent route back to the Solar System.</w:t>
      </w:r>
    </w:p>
    <w:p>
      <w:pPr/>
      <w:r>
        <w:t>Cairn brings optional precision tools, archival furnishings, unusual structural palettes, and a new understanding of prior mysteries. Repeat sites should explore a small, consistent mechanism vocabulary in different configurations. Endless unrelated alien devices would dilute the first discovery. A player may leave the world substantially undisturbed and still complete its central story.</w:t>
      </w:r>
    </w:p>
    <w:p>
      <w:pPr/>
      <w:r>
        <w:rPr>
          <w:b/>
        </w:rPr>
        <w:t>Illustration subjects:</w:t>
      </w:r>
      <w:r>
        <w:t xml:space="preserve"> Shard March arrival; Inverted Terraces bridging; Palimpsest Halls interpretation scene; Witness Engine full chamber; Witness Camp stages; instrument interaction close-up; both material specimens.</w:t>
      </w:r>
    </w:p>
    <w:p>
      <w:bookmarkStart w:id="31" w:name="chapter_31"/>
      <w:pPr>
        <w:pStyle w:val="Heading1"/>
      </w:pPr>
      <w:r>
        <w:t>Morrow</w:t>
      </w:r>
      <w:bookmarkEnd w:id="31"/>
    </w:p>
    <w:p>
      <w:pPr>
        <w:pStyle w:val="Heading3"/>
      </w:pPr>
      <w:r>
        <w:t>Identity and arrival</w:t>
      </w:r>
    </w:p>
    <w:p>
      <w:pPr/>
      <w:r>
        <w:t>Morrow is the proposed living answer to Cairn's preserved memory. The world contains ecological relationships that invite careful participation, useful construction, and optional restoration. Its emotional promise is earned hope after long descent and travel. It should preserve danger and exploration while giving the player something worth tending beyond the next machine tier.</w:t>
      </w:r>
    </w:p>
    <w:p>
      <w:pPr/>
      <w:r>
        <w:t>The Interstellar vessel arrives with standard independent survival capability and known safe landing choices charted from Cairn. Local life is not immediately edible, breathable, tameable, or safe. Protective equipment and a conventional refuge allow patient study. The proposal is not a final perfect paradise that removes survival; it is a world where the player can understand local rules well enough to become a constructive presence.</w:t>
      </w:r>
    </w:p>
    <w:p>
      <w:pPr>
        <w:pStyle w:val="Heading3"/>
      </w:pPr>
      <w:r>
        <w:t>Generation grammar and named experiences</w:t>
      </w:r>
    </w:p>
    <w:p>
      <w:pPr/>
      <w:r>
        <w:rPr>
          <w:b/>
        </w:rPr>
        <w:t>MR-S1 — Dawn Canopy.</w:t>
      </w:r>
      <w:r>
        <w:t xml:space="preserve"> Broad sheltering growths and stone ridges alternate open sky with pools of colored shade. The forms are unmistakably fictional and use a limited silhouette family: fans, terraces, hanging membranes, and bundled pillars. Traversal follows natural clearings and elevated ridges. Safe landings occupy bare shelves so the first touchdown does not destroy a unique organism or demand a magical hover capability.</w:t>
      </w:r>
    </w:p>
    <w:p>
      <w:pPr/>
      <w:r>
        <w:rPr>
          <w:b/>
        </w:rPr>
        <w:t>MR-L1 — Rooted Vaults.</w:t>
      </w:r>
      <w:r>
        <w:t xml:space="preserve"> Near-surface caverns contain large structural growths threaded through stone. They create ladders, ramps, suspended platforms, and partially blocked routes. Players learn which surfaces tolerate climbing and which react to cutting or bright light. Useful resources occur around renewably managed growth edges. A heavy extraction route remains possible in ordinary deposits, while sensitive chambers make the tradeoff visible.</w:t>
      </w:r>
    </w:p>
    <w:p>
      <w:pPr/>
      <w:r>
        <w:rPr>
          <w:b/>
        </w:rPr>
        <w:t>MR-L2 — Tide Orchards.</w:t>
      </w:r>
      <w:r>
        <w:t xml:space="preserve"> Deeper enclosed basins contain fictional periodic flows and clustered organisms that open or fold in response. The cycle is legible and bounded, providing alternate traversal routes at different phases. Players can observe, install harmless markers, build raised crossings, or redirect a small local flow with an approved project. The experience is a living landscape puzzle, with grounded fallback paths and no requirement to simulate an entire planet's hydrology.</w:t>
      </w:r>
    </w:p>
    <w:p>
      <w:pPr/>
      <w:r>
        <w:rPr>
          <w:b/>
        </w:rPr>
        <w:t>MR-L3 — Hearthsea.</w:t>
      </w:r>
      <w:r>
        <w:t xml:space="preserve"> A vast sheltered region brings luminous waters, mineral islands, and expansive colonies together in the game's most mature ecological landscape. The goal is not to collect one final ore from its bottom. The player chooses where to establish a research refuge, which routes to open, and whether to undertake a local restoration project. Several equally valid beautiful sites prevent one correct base location from dominating every playthrough.</w:t>
      </w:r>
    </w:p>
    <w:p>
      <w:pPr>
        <w:pStyle w:val="Heading3"/>
      </w:pPr>
      <w:r>
        <w:t>Counterplay resources and a capstone project</w:t>
      </w:r>
    </w:p>
    <w:p>
      <w:pPr/>
      <w:r>
        <w:t>Ecological hazards communicate through posture, light, movement, and repeated local patterns. Disturbed growth may close a passage or release a visible irritant cloud, with retreat routes and a settling period. Instruments explain observed relationships after sufficient study. Tools for sensitive sampling come from earlier worlds, so players are able to behave carefully on the first visit. Combat may occur around territorial organisms, but it does not become the universal language of first contact with life.</w:t>
      </w:r>
    </w:p>
    <w:p>
      <w:pPr/>
      <w:r>
        <w:rPr>
          <w:b/>
        </w:rPr>
        <w:t>Living Ceramic</w:t>
      </w:r>
      <w:r>
        <w:t xml:space="preserve"> is a fictional cultivated construction medium that matures into durable inert panels after controlled processing. </w:t>
      </w:r>
      <w:r>
        <w:rPr>
          <w:b/>
        </w:rPr>
        <w:t>Tidelace Fiber</w:t>
      </w:r>
      <w:r>
        <w:t xml:space="preserve"> is a fictional flexible filament for responsive habitat screens, ecological sensors, and lightweight tools. Exported versions have bounded, ordinary item behavior; the player does not accidentally transport an uncontrolled infestation home. Once studied, contained cultivation can supply routine demand.</w:t>
      </w:r>
    </w:p>
    <w:p>
      <w:pPr/>
      <w:r>
        <w:t xml:space="preserve">The </w:t>
      </w:r>
      <w:r>
        <w:rPr>
          <w:b/>
        </w:rPr>
        <w:t>Hearthsea Conservatory Controller</w:t>
      </w:r>
      <w:r>
        <w:t xml:space="preserve"> creates a conventional shelter, isolated sample lab, raised walkways, observation niches, managed cultivation beds, and optional community spaces. </w:t>
      </w:r>
      <w:r>
        <w:rPr>
          <w:b/>
        </w:rPr>
        <w:t>A Place for Tomorrow</w:t>
      </w:r>
      <w:r>
        <w:t xml:space="preserve"> is the proposed capstone: study a damaged or blocked local ecological route, select among a few authored restoration plans, supply the required materials, and build a useful settlement that respects the chosen site. The player sees concrete changes in accessibility, colony health cues, and community use.</w:t>
      </w:r>
    </w:p>
    <w:p>
      <w:pPr>
        <w:pStyle w:val="Heading3"/>
      </w:pPr>
      <w:r>
        <w:t>Expedition choice and ongoing play</w:t>
      </w:r>
    </w:p>
    <w:p>
      <w:pPr/>
      <w:r>
        <w:t>A first expedition surveys Dawn Canopy and samples the edges of Rooted Vaults. A second maps a Tide Orchard cycle and establishes a temporary platform. The final campaign descent reveals Hearthsea, where the player chooses an outpost site and a restoration or observation charter. The story can conclude with the expedition returning home, establishing a new community, or maintaining both worlds as connected homes.</w:t>
      </w:r>
    </w:p>
    <w:p>
      <w:pPr/>
      <w:r>
        <w:t>Morrow adds ecological construction, living visual accents, observation-driven exploration, and a final set of useful settlement projects. Its repeatable endgame includes new conservatory sites, alternate restoration approaches, specimen cultivation, local stories, and beautiful free building. A grand finale should leave the player with reasons to inhabit their world, not only a credit sequence and a stronger pickaxe.</w:t>
      </w:r>
    </w:p>
    <w:p>
      <w:pPr/>
      <w:r>
        <w:rPr>
          <w:b/>
        </w:rPr>
        <w:t>Illustration subjects:</w:t>
      </w:r>
      <w:r>
        <w:t xml:space="preserve"> Dawn Canopy landing; Rooted Vaults traversal; Tide Orchards contrasting cycle states; Hearthsea first reveal; conservatory stages; A Place for Tomorrow before-and-after; fan growth, membrane growth, and basin colony; both material specimens.</w:t>
      </w:r>
    </w:p>
    <w:p>
      <w:bookmarkStart w:id="32" w:name="chapter_32"/>
      <w:pPr>
        <w:pStyle w:val="Heading1"/>
      </w:pPr>
      <w:r>
        <w:t>Spacecraft and orbital places</w:t>
      </w:r>
      <w:bookmarkEnd w:id="32"/>
    </w:p>
    <w:p>
      <w:pPr>
        <w:pStyle w:val="Heading3"/>
      </w:pPr>
      <w:r>
        <w:t>Capability classes and proposed representative hulls</w:t>
      </w:r>
    </w:p>
    <w:p>
      <w:pPr/>
      <w:r>
        <w:t>The six inherited classes define capability, not a mandatory set of six disposable vehicles. Players may retain, refit, specialize, and display earlier craft. Later hulls can inherit learned construction methods without requiring every flight to pass through every former class. The proposed hull names below are examples of visual and product direction, not approved brand names or final recipes.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44"/>
        <w:gridCol w:w="2794"/>
        <w:gridCol w:w="2707"/>
        <w:gridCol w:w="2549"/>
      </w:tblGrid>
      <w:tr>
        <w:trPr>
          <w:cantSplit/>
          <w:tblHeader w:val="true"/>
        </w:trPr>
        <w:tc>
          <w:tcPr>
            <w:tcW w:type="dxa" w:w="1944"/>
            <w:vAlign w:val="center"/>
            <w:tcMar>
              <w:top w:w="85" w:type="dxa"/>
              <w:bottom w:w="85" w:type="dxa"/>
              <w:left w:w="95" w:type="dxa"/>
              <w:right w:w="95" w:type="dxa"/>
            </w:tcMar>
            <w:shd w:fill="233544"/>
          </w:tcPr>
          <w:p>
            <w:pPr>
              <w:pStyle w:val="TableText"/>
              <w:keepNext w:val="0"/>
              <w:keepLines/>
            </w:pPr>
            <w:r>
              <w:rPr>
                <w:b/>
                <w:color w:val="FFFFFF"/>
                <w:sz w:val="20"/>
              </w:rPr>
              <w:t>Capability class</w:t>
            </w:r>
          </w:p>
        </w:tc>
        <w:tc>
          <w:tcPr>
            <w:tcW w:type="dxa" w:w="2794"/>
            <w:vAlign w:val="center"/>
            <w:tcMar>
              <w:top w:w="85" w:type="dxa"/>
              <w:bottom w:w="85" w:type="dxa"/>
              <w:left w:w="95" w:type="dxa"/>
              <w:right w:w="95" w:type="dxa"/>
            </w:tcMar>
            <w:shd w:fill="233544"/>
          </w:tcPr>
          <w:p>
            <w:pPr>
              <w:pStyle w:val="TableText"/>
              <w:keepNext w:val="0"/>
              <w:keepLines/>
            </w:pPr>
            <w:r>
              <w:rPr>
                <w:b/>
                <w:color w:val="FFFFFF"/>
                <w:sz w:val="20"/>
              </w:rPr>
              <w:t>Proposed representative hull</w:t>
            </w:r>
          </w:p>
        </w:tc>
        <w:tc>
          <w:tcPr>
            <w:tcW w:type="dxa" w:w="2707"/>
            <w:vAlign w:val="center"/>
            <w:tcMar>
              <w:top w:w="85" w:type="dxa"/>
              <w:bottom w:w="85" w:type="dxa"/>
              <w:left w:w="95" w:type="dxa"/>
              <w:right w:w="95" w:type="dxa"/>
            </w:tcMar>
            <w:shd w:fill="233544"/>
          </w:tcPr>
          <w:p>
            <w:pPr>
              <w:pStyle w:val="TableText"/>
              <w:keepNext w:val="0"/>
              <w:keepLines/>
            </w:pPr>
            <w:r>
              <w:rPr>
                <w:b/>
                <w:color w:val="FFFFFF"/>
                <w:sz w:val="20"/>
              </w:rPr>
              <w:t>Silhouette and internal identity</w:t>
            </w:r>
          </w:p>
        </w:tc>
        <w:tc>
          <w:tcPr>
            <w:tcW w:type="dxa" w:w="2549"/>
            <w:vAlign w:val="center"/>
            <w:tcMar>
              <w:top w:w="85" w:type="dxa"/>
              <w:bottom w:w="85" w:type="dxa"/>
              <w:left w:w="95" w:type="dxa"/>
              <w:right w:w="95" w:type="dxa"/>
            </w:tcMar>
            <w:shd w:fill="233544"/>
          </w:tcPr>
          <w:p>
            <w:pPr>
              <w:pStyle w:val="TableText"/>
              <w:keepNext w:val="0"/>
              <w:keepLines/>
            </w:pPr>
            <w:r>
              <w:rPr>
                <w:b/>
                <w:color w:val="FFFFFF"/>
                <w:sz w:val="20"/>
              </w:rPr>
              <w:t>Practical role</w:t>
            </w:r>
          </w:p>
        </w:tc>
      </w:tr>
      <w:tr>
        <w:trPr>
          <w:cantSplit/>
        </w:trPr>
        <w:tc>
          <w:tcPr>
            <w:tcW w:type="dxa" w:w="1944"/>
            <w:vAlign w:val="center"/>
            <w:tcMar>
              <w:top w:w="85" w:type="dxa"/>
              <w:bottom w:w="85" w:type="dxa"/>
              <w:left w:w="95" w:type="dxa"/>
              <w:right w:w="95" w:type="dxa"/>
            </w:tcMar>
            <w:shd w:fill="FFFFFF"/>
          </w:tcPr>
          <w:p>
            <w:pPr>
              <w:pStyle w:val="TableText"/>
              <w:keepNext w:val="0"/>
              <w:keepLines/>
              <w:jc w:val="center"/>
            </w:pPr>
            <w:r>
              <w:rPr>
                <w:sz w:val="20"/>
              </w:rPr>
              <w:t>Atmospheric</w:t>
            </w:r>
          </w:p>
        </w:tc>
        <w:tc>
          <w:tcPr>
            <w:tcW w:type="dxa" w:w="2794"/>
            <w:vAlign w:val="center"/>
            <w:tcMar>
              <w:top w:w="85" w:type="dxa"/>
              <w:bottom w:w="85" w:type="dxa"/>
              <w:left w:w="95" w:type="dxa"/>
              <w:right w:w="95" w:type="dxa"/>
            </w:tcMar>
            <w:shd w:fill="FFFFFF"/>
          </w:tcPr>
          <w:p>
            <w:pPr>
              <w:pStyle w:val="TableText"/>
              <w:keepNext w:val="0"/>
              <w:keepLines/>
            </w:pPr>
            <w:r>
              <w:rPr>
                <w:b/>
                <w:sz w:val="20"/>
              </w:rPr>
              <w:t>Lark</w:t>
            </w:r>
          </w:p>
        </w:tc>
        <w:tc>
          <w:tcPr>
            <w:tcW w:type="dxa" w:w="2707"/>
            <w:vAlign w:val="center"/>
            <w:tcMar>
              <w:top w:w="85" w:type="dxa"/>
              <w:bottom w:w="85" w:type="dxa"/>
              <w:left w:w="95" w:type="dxa"/>
              <w:right w:w="95" w:type="dxa"/>
            </w:tcMar>
            <w:shd w:fill="FFFFFF"/>
          </w:tcPr>
          <w:p>
            <w:pPr>
              <w:pStyle w:val="TableText"/>
              <w:keepNext w:val="0"/>
              <w:keepLines/>
            </w:pPr>
            <w:r>
              <w:rPr>
                <w:sz w:val="20"/>
              </w:rPr>
              <w:t>Compact body, broad stabilizing forms, exposed landing feet, visible cargo rack; close cockpit and service access</w:t>
            </w:r>
          </w:p>
        </w:tc>
        <w:tc>
          <w:tcPr>
            <w:tcW w:type="dxa" w:w="2549"/>
            <w:vAlign w:val="center"/>
            <w:tcMar>
              <w:top w:w="85" w:type="dxa"/>
              <w:bottom w:w="85" w:type="dxa"/>
              <w:left w:w="95" w:type="dxa"/>
              <w:right w:w="95" w:type="dxa"/>
            </w:tcMar>
            <w:shd w:fill="FFFFFF"/>
          </w:tcPr>
          <w:p>
            <w:pPr>
              <w:pStyle w:val="TableText"/>
              <w:keepNext w:val="0"/>
              <w:keepLines/>
            </w:pPr>
            <w:r>
              <w:rPr>
                <w:sz w:val="20"/>
              </w:rPr>
              <w:t>Local surveying, surface transport, supported flight on appropriate worlds</w:t>
            </w:r>
          </w:p>
        </w:tc>
      </w:tr>
      <w:tr>
        <w:trPr>
          <w:cantSplit/>
        </w:trPr>
        <w:tc>
          <w:tcPr>
            <w:tcW w:type="dxa" w:w="1944"/>
            <w:vAlign w:val="center"/>
            <w:tcMar>
              <w:top w:w="85" w:type="dxa"/>
              <w:bottom w:w="85" w:type="dxa"/>
              <w:left w:w="95" w:type="dxa"/>
              <w:right w:w="95" w:type="dxa"/>
            </w:tcMar>
            <w:shd w:fill="F3F5F6"/>
          </w:tcPr>
          <w:p>
            <w:pPr>
              <w:pStyle w:val="TableText"/>
              <w:keepNext w:val="0"/>
              <w:keepLines/>
              <w:jc w:val="center"/>
            </w:pPr>
            <w:r>
              <w:rPr>
                <w:sz w:val="20"/>
              </w:rPr>
              <w:t>Orbital</w:t>
            </w:r>
          </w:p>
        </w:tc>
        <w:tc>
          <w:tcPr>
            <w:tcW w:type="dxa" w:w="2794"/>
            <w:vAlign w:val="center"/>
            <w:tcMar>
              <w:top w:w="85" w:type="dxa"/>
              <w:bottom w:w="85" w:type="dxa"/>
              <w:left w:w="95" w:type="dxa"/>
              <w:right w:w="95" w:type="dxa"/>
            </w:tcMar>
            <w:shd w:fill="F3F5F6"/>
          </w:tcPr>
          <w:p>
            <w:pPr>
              <w:pStyle w:val="TableText"/>
              <w:keepNext w:val="0"/>
              <w:keepLines/>
            </w:pPr>
            <w:r>
              <w:rPr>
                <w:b/>
                <w:sz w:val="20"/>
              </w:rPr>
              <w:t>Keel</w:t>
            </w:r>
          </w:p>
        </w:tc>
        <w:tc>
          <w:tcPr>
            <w:tcW w:type="dxa" w:w="2707"/>
            <w:vAlign w:val="center"/>
            <w:tcMar>
              <w:top w:w="85" w:type="dxa"/>
              <w:bottom w:w="85" w:type="dxa"/>
              <w:left w:w="95" w:type="dxa"/>
              <w:right w:w="95" w:type="dxa"/>
            </w:tcMar>
            <w:shd w:fill="F3F5F6"/>
          </w:tcPr>
          <w:p>
            <w:pPr>
              <w:pStyle w:val="TableText"/>
              <w:keepNext w:val="0"/>
              <w:keepLines/>
            </w:pPr>
            <w:r>
              <w:rPr>
                <w:sz w:val="20"/>
              </w:rPr>
              <w:t>Upright launch body with a clean spine, distinct capsule, service section, and separable-looking equipment zones</w:t>
            </w:r>
          </w:p>
        </w:tc>
        <w:tc>
          <w:tcPr>
            <w:tcW w:type="dxa" w:w="2549"/>
            <w:vAlign w:val="center"/>
            <w:tcMar>
              <w:top w:w="85" w:type="dxa"/>
              <w:bottom w:w="85" w:type="dxa"/>
              <w:left w:w="95" w:type="dxa"/>
              <w:right w:w="95" w:type="dxa"/>
            </w:tcMar>
            <w:shd w:fill="F3F5F6"/>
          </w:tcPr>
          <w:p>
            <w:pPr>
              <w:pStyle w:val="TableText"/>
              <w:keepNext w:val="0"/>
              <w:keepLines/>
            </w:pPr>
            <w:r>
              <w:rPr>
                <w:sz w:val="20"/>
              </w:rPr>
              <w:t>First orbital missions, station access, instrument deployment</w:t>
            </w:r>
          </w:p>
        </w:tc>
      </w:tr>
      <w:tr>
        <w:trPr>
          <w:cantSplit/>
        </w:trPr>
        <w:tc>
          <w:tcPr>
            <w:tcW w:type="dxa" w:w="1944"/>
            <w:vAlign w:val="center"/>
            <w:tcMar>
              <w:top w:w="85" w:type="dxa"/>
              <w:bottom w:w="85" w:type="dxa"/>
              <w:left w:w="95" w:type="dxa"/>
              <w:right w:w="95" w:type="dxa"/>
            </w:tcMar>
            <w:shd w:fill="FFFFFF"/>
          </w:tcPr>
          <w:p>
            <w:pPr>
              <w:pStyle w:val="TableText"/>
              <w:keepNext w:val="0"/>
              <w:keepLines/>
              <w:jc w:val="center"/>
            </w:pPr>
            <w:r>
              <w:rPr>
                <w:sz w:val="20"/>
              </w:rPr>
              <w:t>Lunar</w:t>
            </w:r>
          </w:p>
        </w:tc>
        <w:tc>
          <w:tcPr>
            <w:tcW w:type="dxa" w:w="2794"/>
            <w:vAlign w:val="center"/>
            <w:tcMar>
              <w:top w:w="85" w:type="dxa"/>
              <w:bottom w:w="85" w:type="dxa"/>
              <w:left w:w="95" w:type="dxa"/>
              <w:right w:w="95" w:type="dxa"/>
            </w:tcMar>
            <w:shd w:fill="FFFFFF"/>
          </w:tcPr>
          <w:p>
            <w:pPr>
              <w:pStyle w:val="TableText"/>
              <w:keepNext w:val="0"/>
              <w:keepLines/>
            </w:pPr>
            <w:r>
              <w:rPr>
                <w:b/>
                <w:sz w:val="20"/>
              </w:rPr>
              <w:t>Pilgrim</w:t>
            </w:r>
          </w:p>
        </w:tc>
        <w:tc>
          <w:tcPr>
            <w:tcW w:type="dxa" w:w="2707"/>
            <w:vAlign w:val="center"/>
            <w:tcMar>
              <w:top w:w="85" w:type="dxa"/>
              <w:bottom w:w="85" w:type="dxa"/>
              <w:left w:w="95" w:type="dxa"/>
              <w:right w:w="95" w:type="dxa"/>
            </w:tcMar>
            <w:shd w:fill="FFFFFF"/>
          </w:tcPr>
          <w:p>
            <w:pPr>
              <w:pStyle w:val="TableText"/>
              <w:keepNext w:val="0"/>
              <w:keepLines/>
            </w:pPr>
            <w:r>
              <w:rPr>
                <w:sz w:val="20"/>
              </w:rPr>
              <w:t>Squat lander with broad feet, low center of visual mass, side airlock, accessible equipment shelves</w:t>
            </w:r>
          </w:p>
        </w:tc>
        <w:tc>
          <w:tcPr>
            <w:tcW w:type="dxa" w:w="2549"/>
            <w:vAlign w:val="center"/>
            <w:tcMar>
              <w:top w:w="85" w:type="dxa"/>
              <w:bottom w:w="85" w:type="dxa"/>
              <w:left w:w="95" w:type="dxa"/>
              <w:right w:w="95" w:type="dxa"/>
            </w:tcMar>
            <w:shd w:fill="FFFFFF"/>
          </w:tcPr>
          <w:p>
            <w:pPr>
              <w:pStyle w:val="TableText"/>
              <w:keepNext w:val="0"/>
              <w:keepLines/>
            </w:pPr>
            <w:r>
              <w:rPr>
                <w:sz w:val="20"/>
              </w:rPr>
              <w:t>Moon landing, short expedition living, cargo return, local shelter</w:t>
            </w:r>
          </w:p>
        </w:tc>
      </w:tr>
      <w:tr>
        <w:trPr>
          <w:cantSplit/>
        </w:trPr>
        <w:tc>
          <w:tcPr>
            <w:tcW w:type="dxa" w:w="1944"/>
            <w:vAlign w:val="center"/>
            <w:tcMar>
              <w:top w:w="85" w:type="dxa"/>
              <w:bottom w:w="85" w:type="dxa"/>
              <w:left w:w="95" w:type="dxa"/>
              <w:right w:w="95" w:type="dxa"/>
            </w:tcMar>
            <w:shd w:fill="F3F5F6"/>
          </w:tcPr>
          <w:p>
            <w:pPr>
              <w:pStyle w:val="TableText"/>
              <w:keepNext w:val="0"/>
              <w:keepLines/>
              <w:jc w:val="center"/>
            </w:pPr>
            <w:r>
              <w:rPr>
                <w:sz w:val="20"/>
              </w:rPr>
              <w:t>Interplanetary</w:t>
            </w:r>
          </w:p>
        </w:tc>
        <w:tc>
          <w:tcPr>
            <w:tcW w:type="dxa" w:w="2794"/>
            <w:vAlign w:val="center"/>
            <w:tcMar>
              <w:top w:w="85" w:type="dxa"/>
              <w:bottom w:w="85" w:type="dxa"/>
              <w:left w:w="95" w:type="dxa"/>
              <w:right w:w="95" w:type="dxa"/>
            </w:tcMar>
            <w:shd w:fill="F3F5F6"/>
          </w:tcPr>
          <w:p>
            <w:pPr>
              <w:pStyle w:val="TableText"/>
              <w:keepNext w:val="0"/>
              <w:keepLines/>
            </w:pPr>
            <w:r>
              <w:rPr>
                <w:b/>
                <w:sz w:val="20"/>
              </w:rPr>
              <w:t>Peregrine</w:t>
            </w:r>
          </w:p>
        </w:tc>
        <w:tc>
          <w:tcPr>
            <w:tcW w:type="dxa" w:w="2707"/>
            <w:vAlign w:val="center"/>
            <w:tcMar>
              <w:top w:w="85" w:type="dxa"/>
              <w:bottom w:w="85" w:type="dxa"/>
              <w:left w:w="95" w:type="dxa"/>
              <w:right w:w="95" w:type="dxa"/>
            </w:tcMar>
            <w:shd w:fill="F3F5F6"/>
          </w:tcPr>
          <w:p>
            <w:pPr>
              <w:pStyle w:val="TableText"/>
              <w:keepNext w:val="0"/>
              <w:keepLines/>
            </w:pPr>
            <w:r>
              <w:rPr>
                <w:sz w:val="20"/>
              </w:rPr>
              <w:t>Longer craft with distinct cabin, workshop, cargo body, propulsion section, and deployable service surfaces</w:t>
            </w:r>
          </w:p>
        </w:tc>
        <w:tc>
          <w:tcPr>
            <w:tcW w:type="dxa" w:w="2549"/>
            <w:vAlign w:val="center"/>
            <w:tcMar>
              <w:top w:w="85" w:type="dxa"/>
              <w:bottom w:w="85" w:type="dxa"/>
              <w:left w:w="95" w:type="dxa"/>
              <w:right w:w="95" w:type="dxa"/>
            </w:tcMar>
            <w:shd w:fill="F3F5F6"/>
          </w:tcPr>
          <w:p>
            <w:pPr>
              <w:pStyle w:val="TableText"/>
              <w:keepNext w:val="0"/>
              <w:keepLines/>
            </w:pPr>
            <w:r>
              <w:rPr>
                <w:sz w:val="20"/>
              </w:rPr>
              <w:t>Mars and Ceres campaigns, rover carriage, extended field operations</w:t>
            </w:r>
          </w:p>
        </w:tc>
      </w:tr>
      <w:tr>
        <w:trPr>
          <w:cantSplit/>
        </w:trPr>
        <w:tc>
          <w:tcPr>
            <w:tcW w:type="dxa" w:w="1944"/>
            <w:vAlign w:val="center"/>
            <w:tcMar>
              <w:top w:w="85" w:type="dxa"/>
              <w:bottom w:w="85" w:type="dxa"/>
              <w:left w:w="95" w:type="dxa"/>
              <w:right w:w="95" w:type="dxa"/>
            </w:tcMar>
            <w:shd w:fill="FFFFFF"/>
          </w:tcPr>
          <w:p>
            <w:pPr>
              <w:pStyle w:val="TableText"/>
              <w:keepNext w:val="0"/>
              <w:keepLines/>
              <w:jc w:val="center"/>
            </w:pPr>
            <w:r>
              <w:rPr>
                <w:sz w:val="20"/>
              </w:rPr>
              <w:t>Deep-Space</w:t>
            </w:r>
          </w:p>
        </w:tc>
        <w:tc>
          <w:tcPr>
            <w:tcW w:type="dxa" w:w="2794"/>
            <w:vAlign w:val="center"/>
            <w:tcMar>
              <w:top w:w="85" w:type="dxa"/>
              <w:bottom w:w="85" w:type="dxa"/>
              <w:left w:w="95" w:type="dxa"/>
              <w:right w:w="95" w:type="dxa"/>
            </w:tcMar>
            <w:shd w:fill="FFFFFF"/>
          </w:tcPr>
          <w:p>
            <w:pPr>
              <w:pStyle w:val="TableText"/>
              <w:keepNext w:val="0"/>
              <w:keepLines/>
            </w:pPr>
            <w:r>
              <w:rPr>
                <w:b/>
                <w:sz w:val="20"/>
              </w:rPr>
              <w:t>Hearth</w:t>
            </w:r>
          </w:p>
        </w:tc>
        <w:tc>
          <w:tcPr>
            <w:tcW w:type="dxa" w:w="2707"/>
            <w:vAlign w:val="center"/>
            <w:tcMar>
              <w:top w:w="85" w:type="dxa"/>
              <w:bottom w:w="85" w:type="dxa"/>
              <w:left w:w="95" w:type="dxa"/>
              <w:right w:w="95" w:type="dxa"/>
            </w:tcMar>
            <w:shd w:fill="FFFFFF"/>
          </w:tcPr>
          <w:p>
            <w:pPr>
              <w:pStyle w:val="TableText"/>
              <w:keepNext w:val="0"/>
              <w:keepLines/>
            </w:pPr>
            <w:r>
              <w:rPr>
                <w:sz w:val="20"/>
              </w:rPr>
              <w:t>Protected central habitat surrounded by specialized service modules and strong structural framing</w:t>
            </w:r>
          </w:p>
        </w:tc>
        <w:tc>
          <w:tcPr>
            <w:tcW w:type="dxa" w:w="2549"/>
            <w:vAlign w:val="center"/>
            <w:tcMar>
              <w:top w:w="85" w:type="dxa"/>
              <w:bottom w:w="85" w:type="dxa"/>
              <w:left w:w="95" w:type="dxa"/>
              <w:right w:w="95" w:type="dxa"/>
            </w:tcMar>
            <w:shd w:fill="FFFFFF"/>
          </w:tcPr>
          <w:p>
            <w:pPr>
              <w:pStyle w:val="TableText"/>
              <w:keepNext w:val="0"/>
              <w:keepLines/>
            </w:pPr>
            <w:r>
              <w:rPr>
                <w:sz w:val="20"/>
              </w:rPr>
              <w:t>Outer-world expeditions, multiple shelters, laboratory work, rescue capability</w:t>
            </w:r>
          </w:p>
        </w:tc>
      </w:tr>
      <w:tr>
        <w:trPr>
          <w:cantSplit/>
        </w:trPr>
        <w:tc>
          <w:tcPr>
            <w:tcW w:type="dxa" w:w="1944"/>
            <w:vAlign w:val="center"/>
            <w:tcMar>
              <w:top w:w="85" w:type="dxa"/>
              <w:bottom w:w="85" w:type="dxa"/>
              <w:left w:w="95" w:type="dxa"/>
              <w:right w:w="95" w:type="dxa"/>
            </w:tcMar>
            <w:shd w:fill="F3F5F6"/>
          </w:tcPr>
          <w:p>
            <w:pPr>
              <w:pStyle w:val="TableText"/>
              <w:keepNext w:val="0"/>
              <w:keepLines/>
              <w:jc w:val="center"/>
            </w:pPr>
            <w:r>
              <w:rPr>
                <w:sz w:val="20"/>
              </w:rPr>
              <w:t>Interstellar</w:t>
            </w:r>
          </w:p>
        </w:tc>
        <w:tc>
          <w:tcPr>
            <w:tcW w:type="dxa" w:w="2794"/>
            <w:vAlign w:val="center"/>
            <w:tcMar>
              <w:top w:w="85" w:type="dxa"/>
              <w:bottom w:w="85" w:type="dxa"/>
              <w:left w:w="95" w:type="dxa"/>
              <w:right w:w="95" w:type="dxa"/>
            </w:tcMar>
            <w:shd w:fill="F3F5F6"/>
          </w:tcPr>
          <w:p>
            <w:pPr>
              <w:pStyle w:val="TableText"/>
              <w:keepNext w:val="0"/>
              <w:keepLines/>
            </w:pPr>
            <w:r>
              <w:rPr>
                <w:b/>
                <w:sz w:val="20"/>
              </w:rPr>
              <w:t>Far Lantern</w:t>
            </w:r>
          </w:p>
        </w:tc>
        <w:tc>
          <w:tcPr>
            <w:tcW w:type="dxa" w:w="2707"/>
            <w:vAlign w:val="center"/>
            <w:tcMar>
              <w:top w:w="85" w:type="dxa"/>
              <w:bottom w:w="85" w:type="dxa"/>
              <w:left w:w="95" w:type="dxa"/>
              <w:right w:w="95" w:type="dxa"/>
            </w:tcMar>
            <w:shd w:fill="F3F5F6"/>
          </w:tcPr>
          <w:p>
            <w:pPr>
              <w:pStyle w:val="TableText"/>
              <w:keepNext w:val="0"/>
              <w:keepLines/>
            </w:pPr>
            <w:r>
              <w:rPr>
                <w:sz w:val="20"/>
              </w:rPr>
              <w:t>Large coherent expedition vessel with an unmistakable forward habitat, central structural span, and bounded anomalous navigation assembly</w:t>
            </w:r>
          </w:p>
        </w:tc>
        <w:tc>
          <w:tcPr>
            <w:tcW w:type="dxa" w:w="2549"/>
            <w:vAlign w:val="center"/>
            <w:tcMar>
              <w:top w:w="85" w:type="dxa"/>
              <w:bottom w:w="85" w:type="dxa"/>
              <w:left w:w="95" w:type="dxa"/>
              <w:right w:w="95" w:type="dxa"/>
            </w:tcMar>
            <w:shd w:fill="F3F5F6"/>
          </w:tcPr>
          <w:p>
            <w:pPr>
              <w:pStyle w:val="TableText"/>
              <w:keepNext w:val="0"/>
              <w:keepLines/>
            </w:pPr>
            <w:r>
              <w:rPr>
                <w:sz w:val="20"/>
              </w:rPr>
              <w:t>Afterlight voyage, independent operation, significant modular payload</w:t>
            </w:r>
          </w:p>
        </w:tc>
      </w:tr>
    </w:tbl>
    <w:p>
      <w:pPr>
        <w:spacing w:after="0" w:before="0" w:line="60" w:lineRule="exact"/>
      </w:pPr>
      <w:r>
        <w:rPr>
          <w:sz w:val="6"/>
        </w:rPr>
      </w:r>
    </w:p>
    <w:p>
      <w:pPr/>
      <w:r>
        <w:rPr>
          <w:b/>
        </w:rPr>
        <w:t>Lark</w:t>
      </w:r>
      <w:r>
        <w:t xml:space="preserve"> is a practical work vehicle rather than a miniature starship. Its visible skids, cargo attachments, and instrument nose explain its purpose. Interior access is compact: one cockpit, a small service locker, and a rear load area. Variants may trade survey instruments for two passengers or a sample rack. Its value continues after spaceflight, especially on Mars-like routes and Titan-specific versions using an appropriate local flight system.</w:t>
      </w:r>
    </w:p>
    <w:p>
      <w:pPr/>
      <w:r>
        <w:rPr>
          <w:b/>
        </w:rPr>
        <w:t>Keel</w:t>
      </w:r>
      <w:r>
        <w:t xml:space="preserve"> gives the first launch a strong authored shape. The player can walk around the assembled vehicle, see the capsule above the service body, and understand where boarding, power, cargo, and propulsion belong. Orbital modules are small and purposeful. A payload fairing might hold an instrument package or starter station component. It should make orbit feel like an achievement without demanding a detailed real aerospace certification simulator.</w:t>
      </w:r>
    </w:p>
    <w:p>
      <w:pPr/>
      <w:r>
        <w:rPr>
          <w:b/>
        </w:rPr>
        <w:t>Pilgrim</w:t>
      </w:r>
      <w:r>
        <w:t xml:space="preserve"> is the first ship the player expects to live beside. Its airlock, ladder, lamps, landing feet, and exterior racks are recognizable from a distance. Inside, a compact cockpit connects to sleeping, suit service, sample storage, and a tiny working surface. A wide landing stance and accessible underside give it a home-like presence. Different cabin and cargo options support solo expeditions, a companion, or a heavier shelter kit.</w:t>
      </w:r>
    </w:p>
    <w:p>
      <w:pPr/>
      <w:r>
        <w:rPr>
          <w:b/>
        </w:rPr>
        <w:t>Peregrine</w:t>
      </w:r>
      <w:r>
        <w:t xml:space="preserve"> separates flight and expedition living more clearly. It carries a rover or equivalent local equipment in a defined bay, has a repair bench, and provides space to organize samples. Modular length and attachment choices should change its profile within an authored family. Windows frame a destination; warm interior materials and personal objects prevent every cabin from feeling like identical white laboratory cubes.</w:t>
      </w:r>
    </w:p>
    <w:p>
      <w:pPr/>
      <w:r>
        <w:rPr>
          <w:b/>
        </w:rPr>
        <w:t>Hearth</w:t>
      </w:r>
      <w:r>
        <w:t xml:space="preserve"> is a traveling base in the sense of service and shelter, with its mobile representation deliberately scoped. It carries redundant essential systems, a configurable laboratory, rescue equipment, and detachable-looking lander or expedition modules. The player can choose a cargo-heavy industrial expedition or a research-oriented campaign. A recognizable shared room, observation niche, and galley make it a place to inhabit between destinations.</w:t>
      </w:r>
    </w:p>
    <w:p>
      <w:pPr/>
      <w:r>
        <w:rPr>
          <w:b/>
        </w:rPr>
        <w:t>Far Lantern</w:t>
      </w:r>
      <w:r>
        <w:t xml:space="preserve"> is a substantial construction achievement with a visible relationship to everything learned before. Familiar structural frames, shielding, habitat modules, optics, and logistics surround one carefully bounded new interstellar mechanism. Its silhouette should suggest a long expedition and a protected community rather than simply a bigger missile. The interior includes a navigational observatory, archive, workshops, crew space, and clearly organized reserve systems.</w:t>
      </w:r>
    </w:p>
    <w:p>
      <w:pPr/>
      <w:r>
        <w:t>The shared material language develops visibly across these craft. Lark and Keel emphasize familiar metal frames, dark service housings, bolted-looking joints, and warm practical cabin fittings. The first Pilgrim uses Earth-made technical ceramics and established glass; lunar refits can add pale Regolith Ceramic panels with dusty edge wear and Lunar Glass Filament instruments. The first Peregrine uses previously available reinforced frames; Mars refits can expose repairable Ferric Lattice and interchangeable external service boxes. Hearth begins with Solar System components available before its first outer-world voyage, then accepts destination-specific seals and shielding as improvements. The first Far Lantern combines established frames, Heartglass assemblies, Nightglass optics, and a calibrated transit system developed from Earth and Pluto observations. Cairn components are optional later instrument refits and cannot be required for the first journey to Cairn. These materials are visual and functional choices; paint, lighting, and trim remain personal, and later hulls need not become uniformly glossy white or neon purple.</w:t>
      </w:r>
    </w:p>
    <w:p>
      <w:pPr>
        <w:pStyle w:val="Heading3"/>
      </w:pPr>
      <w:r>
        <w:t>Modular choices that produce real decisions</w:t>
      </w:r>
    </w:p>
    <w:p>
      <w:pPr/>
      <w:r>
        <w:t xml:space="preserve">The </w:t>
      </w:r>
      <w:r>
        <w:rPr>
          <w:b/>
        </w:rPr>
        <w:t>cockpit</w:t>
      </w:r>
      <w:r>
        <w:t xml:space="preserve"> changes observation and control options: panoramic survey cabin, compact industrial cabin, or instrument-dense navigation room. It should not make ordinary flight impossible if a player prefers one visual style. Critical information remains consistently located across layouts.</w:t>
      </w:r>
    </w:p>
    <w:p>
      <w:pPr/>
      <w:r>
        <w:t xml:space="preserve">The </w:t>
      </w:r>
      <w:r>
        <w:rPr>
          <w:b/>
        </w:rPr>
        <w:t>cabin</w:t>
      </w:r>
      <w:r>
        <w:t xml:space="preserve"> trades crew or companion spaces, personal storage, rest quality, and common-room capacity within the settlement system's actual scope. Decorative freedom matters because the user may spend substantial time here. Beds, shelves, display specimens, plants in sealed modules, and trophies from earlier expeditions should fit designated safe interior areas.</w:t>
      </w:r>
    </w:p>
    <w:p>
      <w:pPr/>
      <w:r>
        <w:t xml:space="preserve">The </w:t>
      </w:r>
      <w:r>
        <w:rPr>
          <w:b/>
        </w:rPr>
        <w:t>cargo system</w:t>
      </w:r>
      <w:r>
        <w:t xml:space="preserve"> distinguishes loose resource holds, secure sample lockers, vehicle bays, externally mounted equipment, and reserved emergency supplies. Manifesting cargo is a planning tool: the player can see the shelter kit, spare filters, sample containers, and rover allocation before launch. Cargo mass or capacity should use understandable module budgets instead of simulating the physics of every decorative block.</w:t>
      </w:r>
    </w:p>
    <w:p>
      <w:pPr/>
      <w:r>
        <w:t xml:space="preserve">The </w:t>
      </w:r>
      <w:r>
        <w:rPr>
          <w:b/>
        </w:rPr>
        <w:t>life-support module</w:t>
      </w:r>
      <w:r>
        <w:t xml:space="preserve"> establishes expedition duration, environmental capability, redundancy, and service needs. It comes with an explicit destination readiness summary. A larger module can support more occupants or longer work, while a research or cargo module competes for the same finite space. Crucial reserves remain protected from ordinary crafting and automatic processing.</w:t>
      </w:r>
    </w:p>
    <w:p>
      <w:pPr/>
      <w:r>
        <w:t xml:space="preserve">The </w:t>
      </w:r>
      <w:r>
        <w:rPr>
          <w:b/>
        </w:rPr>
        <w:t>laboratory and workshop</w:t>
      </w:r>
      <w:r>
        <w:t xml:space="preserve"> define what can be done away from Earth. A survey lab identifies samples, a biology enclosure safely contains fictional organisms, and a field workshop repairs bounded equipment classes. Full industrial processing remains an outpost or home-base advantage. This preserves the value of settled places while still letting an expedition adapt.</w:t>
      </w:r>
    </w:p>
    <w:p>
      <w:pPr>
        <w:pStyle w:val="Heading2"/>
      </w:pPr>
      <w:r>
        <w:t>Authored construction with room for the player taste</w:t>
      </w:r>
    </w:p>
    <w:p>
      <w:pPr/>
      <w:r>
        <w:t xml:space="preserve">Ships use the same material-fed project logic as managed settlements. The player places a </w:t>
      </w:r>
      <w:r>
        <w:rPr>
          <w:b/>
        </w:rPr>
        <w:t>Shipyard Controller</w:t>
      </w:r>
      <w:r>
        <w:t>, selects an unlocked hull family, previews the footprint and clearance envelope, and chooses a configuration. A ghosted or otherwise clearly readable plan shows foundations, boarding access, module slots, and required working space. The controller checks conflicts before construction starts.</w:t>
      </w:r>
    </w:p>
    <w:p>
      <w:pPr/>
      <w:r>
        <w:t xml:space="preserve">Assembly has visible stages: </w:t>
      </w:r>
      <w:r>
        <w:rPr>
          <w:b/>
        </w:rPr>
        <w:t>foundation and gantry → frame and landing gear → propulsion and service systems → habitat and cargo modules → outer shell and fittings → interior choices → commissioning</w:t>
      </w:r>
      <w:r>
        <w:t>. Materials supplied to each stage produce an authored construction sequence. Scaffolds rise, components lock into place, and workers or machines use designated routes where the relevant community systems support them. The sequence can be paused safely and resumed without losing work.</w:t>
      </w:r>
    </w:p>
    <w:p>
      <w:pPr/>
      <w:r>
        <w:t>The player retains expression through paint, surface finishes, lighting, selected silhouette variants, interior layouts, attachment choices, and designated free-build zones. A lunar freighter and lunar research vessel can share a reliable structural family while looking and feeling different. Cosmetic choices must not conceal the location of the airlock, remove a critical indicator, or silently violate the flight envelope.</w:t>
      </w:r>
    </w:p>
    <w:p>
      <w:pPr/>
      <w:r>
        <w:t xml:space="preserve">Completed craft have a </w:t>
      </w:r>
      <w:r>
        <w:rPr>
          <w:b/>
        </w:rPr>
        <w:t>commissioning checklist</w:t>
      </w:r>
      <w:r>
        <w:t xml:space="preserve"> within the product flow: route capability, power, environmental protection, essential supplies, cargo allocation, navigation data, and protected return reserves. It is presented as a concise readiness display with direct links to missing components. It should help a player launch confidently, not expose implementation jargon or repeat a bureaucratic approval ritual before every trip.</w:t>
      </w:r>
    </w:p>
    <w:p>
      <w:pPr/>
      <w:r>
        <w:t>Upgrading a ship happens at a supported dock or shipyard. The system previews what will be replaced, which cargo needs relocation, and where personalized fittings will be stored. It never eats the player's cabin decorations because the next hull tier expects a different wall. Earlier ships can be parked, displayed, used for local journeys, or assigned to supported logistical jobs once those jobs exist.</w:t>
      </w:r>
    </w:p>
    <w:p>
      <w:pPr>
        <w:pStyle w:val="Heading2"/>
      </w:pPr>
      <w:r>
        <w:t>Recommended flight scope</w:t>
      </w:r>
    </w:p>
    <w:p>
      <w:pPr/>
      <w:r>
        <w:t>The recommended experience combines authored launches and landings, meaningful local movement, bounded docking, explorable parked vessels, and destination-based interplanetary travel. It does not require a seamless physically simulated universe before the user can enjoy the Moon. The most valuable moments are boarding a craft that the player built, seeing home recede, navigating the destination's local space, making a first landing, and stepping outside.</w:t>
      </w:r>
    </w:p>
    <w:p>
      <w:pPr/>
      <w:r>
        <w:t>Local flight can operate in defined surface or orbital volumes with clear boundaries and approachable controls. Docking begins with generous capture zones and understandable alignment feedback. A player may perform a short manual approach or use an established-route assistance option. Long journeys transition through an inhabited travel state or a shorter confirmed passage; neither demands hours of passive waiting.</w:t>
      </w:r>
    </w:p>
    <w:p>
      <w:pPr/>
      <w:r>
        <w:t>When landed or docked, the vessel is a stable explorable construction with dependable collision and designated editable areas. During flight, it can use a controlled vehicle representation derived from the chosen authored configuration. Supporting arbitrary moving player-built voxel megabases should remain a separate future decision. The product should promise ships with personality, useful modularity, and reliable travel before promising unrestricted mobile architecture.</w:t>
      </w:r>
    </w:p>
    <w:p>
      <w:pPr/>
      <w:r>
        <w:t>The Solar System view is a useful expedition planning interface: discovered worlds, known hazards, available landing sites, established outposts, cargo needs, and return readiness. Route lines tell a story of what the player has opened. The interface should let a mature expedition depart efficiently while retaining a deliberate first-arrival sequence for a new destination.</w:t>
      </w:r>
    </w:p>
    <w:p>
      <w:pPr>
        <w:pStyle w:val="Heading2"/>
      </w:pPr>
      <w:r>
        <w:t>Orbital places stations and support craft</w:t>
      </w:r>
    </w:p>
    <w:p>
      <w:pPr/>
      <w:r>
        <w:rPr>
          <w:b/>
        </w:rPr>
        <w:t>Home Orbit Anchorage</w:t>
      </w:r>
      <w:r>
        <w:t xml:space="preserve"> is a proposed first station: a compact dock, panoramic Earth observation room, storage spine, workshop, and instrumentation platform. Its function is visible. It supports vehicle service, small assembly projects, and expedition preparation without becoming a mandatory bureaucracy between every Earth task and the surface.</w:t>
      </w:r>
    </w:p>
    <w:p>
      <w:pPr/>
      <w:r>
        <w:rPr>
          <w:b/>
        </w:rPr>
        <w:t>Transfer Yard</w:t>
      </w:r>
      <w:r>
        <w:t xml:space="preserve"> is a proposed station family that can be built at selected useful route nodes. Cargo modules, docking arms, fuel-service equipment, and refuge cells attach to authored expansion points. A station near a gas giant offers enormous views and meaningful planning for its moons. It does not imply that the giant has a conventional surface region.</w:t>
      </w:r>
    </w:p>
    <w:p>
      <w:pPr/>
      <w:r>
        <w:t xml:space="preserve">The </w:t>
      </w:r>
      <w:r>
        <w:rPr>
          <w:b/>
        </w:rPr>
        <w:t>Station Controller</w:t>
      </w:r>
      <w:r>
        <w:t xml:space="preserve"> feeds staged assembly in the same language as settlement projects. Shared station parts include docking collars, pressure corridors, window rooms, storage racks, solar-looking or other approved power modules, radiator-like service panels, and visible emergency refuges. Players choose a recognizable architectural family and then personalize interior and exterior zones.</w:t>
      </w:r>
    </w:p>
    <w:p>
      <w:pPr/>
      <w:r>
        <w:t xml:space="preserve">Support craft include a </w:t>
      </w:r>
      <w:r>
        <w:rPr>
          <w:b/>
        </w:rPr>
        <w:t>Survey Rover</w:t>
      </w:r>
      <w:r>
        <w:t xml:space="preserve">, </w:t>
      </w:r>
      <w:r>
        <w:rPr>
          <w:b/>
        </w:rPr>
        <w:t>Cargo Crawler</w:t>
      </w:r>
      <w:r>
        <w:t xml:space="preserve">, </w:t>
      </w:r>
      <w:r>
        <w:rPr>
          <w:b/>
        </w:rPr>
        <w:t>Ice Submersible</w:t>
      </w:r>
      <w:r>
        <w:t xml:space="preserve">, and </w:t>
      </w:r>
      <w:r>
        <w:rPr>
          <w:b/>
        </w:rPr>
        <w:t>Atmospheric Survey Skiff</w:t>
      </w:r>
      <w:r>
        <w:t>. These are proposed functional families, not additional spacecraft capability classes. Each answers a specific terrain problem. A rover carries tools and shelter across Mars; a crawler moves bulky equipment through prepared routes; the submersible explores Europa; the skiff navigates supported atmospheric environments such as Titan's local volumes.</w:t>
      </w:r>
    </w:p>
    <w:p>
      <w:pPr>
        <w:pStyle w:val="Heading2"/>
      </w:pPr>
      <w:r>
        <w:t>Return rescue and permanent progress</w:t>
      </w:r>
    </w:p>
    <w:p>
      <w:pPr/>
      <w:r>
        <w:t>Every first expedition begins with an independently viable way home. Return supplies are reserved and visibly separated from ordinary cargo. When a lander and orbital carrier are both used, both ends of the route are checked. A destination's key material is never needed to manufacture the first return propellant. If players voluntarily change their loadout, the interface explains the resulting range or shelter limit before departure.</w:t>
      </w:r>
    </w:p>
    <w:p>
      <w:pPr/>
      <w:r>
        <w:t>The first landing zone contains a dependable deployment footprint, a protected arrival interval, and a route to nearby initial content. This does not mean every destination is gentle. It means the player gets a fair chance to deploy the equipment that preparation earned. More difficult landings are explicit expedition choices after suitable instruments and experience exist.</w:t>
      </w:r>
    </w:p>
    <w:p>
      <w:pPr/>
      <w:r>
        <w:t xml:space="preserve">The </w:t>
      </w:r>
      <w:r>
        <w:rPr>
          <w:b/>
        </w:rPr>
        <w:t>Expedition Recovery Beacon</w:t>
      </w:r>
      <w:r>
        <w:t xml:space="preserve"> is the supported planetary recovery mode of the EQ26 Communications beacon, rather than a separate required device. It provides a bounded recovery option if a craft is disabled or a player loses the normal route. Depending on game mode, recovery may consume emergency stores, take an in-game interval, move the player to a safe shelter or established base, and leave some nonessential cargo for a later salvage mission. It should never erase discovered navigation, learned recipes, completed story milestones, or the only source of a unique progression item.</w:t>
      </w:r>
    </w:p>
    <w:p>
      <w:pPr/>
      <w:r>
        <w:t>In multiplayer, another player can perform a supported rescue with spare capacity and the correct equipment. In solo play, a recovery service or automated expedition contingency provides an equivalent escape from permanent stranding. The exact fiction should match the wider settlement and faction design. Rescue preserves consequence without turning a failed expedition into an unrecoverable save.</w:t>
      </w:r>
    </w:p>
    <w:p>
      <w:pPr/>
      <w:r>
        <w:t>Remote habitats enter a stable parked state when no eligible participating player is present. Flavor records can describe ordinary life, but they cannot consume actual inventory, advance production, or create absence debt while paused. Critical air, heat, and inhabitants remain stable during the player's absence. Active mission events, heat extraction windows, and ecological puzzles resume under clear local rules. A player's outward empire should expand their choices, not create a growing list of punishments for being elsewhere.</w:t>
      </w:r>
    </w:p>
    <w:p>
      <w:bookmarkStart w:id="33" w:name="chapter_33"/>
      <w:pPr>
        <w:pStyle w:val="Heading1"/>
      </w:pPr>
      <w:r>
        <w:t>Planetary materials and reference catalogue</w:t>
      </w:r>
      <w:bookmarkEnd w:id="33"/>
    </w:p>
    <w:p>
      <w:pPr/>
      <w:r>
        <w:t>All names in this inventory are new creative proposals except the real destination names, the five inherited arc titles, and the six inherited spacecraft capability classes. The identifiers are working references for the document and later illustration commissioning, not implementation IDs. Materials below are fictional game materials; names inspired by common substances do not assert specific real deposits or engineering properties.</w:t>
      </w:r>
    </w:p>
    <w:p>
      <w:pPr>
        <w:pStyle w:val="Heading3"/>
      </w:pPr>
      <w:r>
        <w:t>Places and projects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944"/>
        <w:gridCol w:w="2794"/>
        <w:gridCol w:w="2707"/>
        <w:gridCol w:w="2549"/>
      </w:tblGrid>
      <w:tr>
        <w:trPr>
          <w:cantSplit/>
          <w:tblHeader w:val="true"/>
        </w:trPr>
        <w:tc>
          <w:tcPr>
            <w:tcW w:type="dxa" w:w="1944"/>
            <w:vAlign w:val="center"/>
            <w:tcMar>
              <w:top w:w="85" w:type="dxa"/>
              <w:bottom w:w="85" w:type="dxa"/>
              <w:left w:w="95" w:type="dxa"/>
              <w:right w:w="95" w:type="dxa"/>
            </w:tcMar>
            <w:shd w:fill="233544"/>
          </w:tcPr>
          <w:p>
            <w:pPr>
              <w:pStyle w:val="TableText"/>
              <w:keepNext w:val="0"/>
              <w:keepLines/>
            </w:pPr>
            <w:r>
              <w:rPr>
                <w:b/>
                <w:color w:val="FFFFFF"/>
                <w:sz w:val="20"/>
              </w:rPr>
              <w:t>World or location</w:t>
            </w:r>
          </w:p>
        </w:tc>
        <w:tc>
          <w:tcPr>
            <w:tcW w:type="dxa" w:w="2794"/>
            <w:vAlign w:val="center"/>
            <w:tcMar>
              <w:top w:w="85" w:type="dxa"/>
              <w:bottom w:w="85" w:type="dxa"/>
              <w:left w:w="95" w:type="dxa"/>
              <w:right w:w="95" w:type="dxa"/>
            </w:tcMar>
            <w:shd w:fill="233544"/>
          </w:tcPr>
          <w:p>
            <w:pPr>
              <w:pStyle w:val="TableText"/>
              <w:keepNext w:val="0"/>
              <w:keepLines/>
            </w:pPr>
            <w:r>
              <w:rPr>
                <w:b/>
                <w:color w:val="FFFFFF"/>
                <w:sz w:val="20"/>
              </w:rPr>
              <w:t>Named surface and underground subjects</w:t>
            </w:r>
          </w:p>
        </w:tc>
        <w:tc>
          <w:tcPr>
            <w:tcW w:type="dxa" w:w="2707"/>
            <w:vAlign w:val="center"/>
            <w:tcMar>
              <w:top w:w="85" w:type="dxa"/>
              <w:bottom w:w="85" w:type="dxa"/>
              <w:left w:w="95" w:type="dxa"/>
              <w:right w:w="95" w:type="dxa"/>
            </w:tcMar>
            <w:shd w:fill="233544"/>
          </w:tcPr>
          <w:p>
            <w:pPr>
              <w:pStyle w:val="TableText"/>
              <w:keepNext w:val="0"/>
              <w:keepLines/>
            </w:pPr>
            <w:r>
              <w:rPr>
                <w:b/>
                <w:color w:val="FFFFFF"/>
                <w:sz w:val="20"/>
              </w:rPr>
              <w:t>Controller projects</w:t>
            </w:r>
          </w:p>
        </w:tc>
        <w:tc>
          <w:tcPr>
            <w:tcW w:type="dxa" w:w="2549"/>
            <w:vAlign w:val="center"/>
            <w:tcMar>
              <w:top w:w="85" w:type="dxa"/>
              <w:bottom w:w="85" w:type="dxa"/>
              <w:left w:w="95" w:type="dxa"/>
              <w:right w:w="95" w:type="dxa"/>
            </w:tcMar>
            <w:shd w:fill="233544"/>
          </w:tcPr>
          <w:p>
            <w:pPr>
              <w:pStyle w:val="TableText"/>
              <w:keepNext w:val="0"/>
              <w:keepLines/>
            </w:pPr>
            <w:r>
              <w:rPr>
                <w:b/>
                <w:color w:val="FFFFFF"/>
                <w:sz w:val="20"/>
              </w:rPr>
              <w:t>Signature mission or structure</w:t>
            </w:r>
          </w:p>
        </w:tc>
      </w:tr>
      <w:tr>
        <w:trPr>
          <w:cantSplit/>
        </w:trPr>
        <w:tc>
          <w:tcPr>
            <w:tcW w:type="dxa" w:w="1944"/>
            <w:vAlign w:val="center"/>
            <w:tcMar>
              <w:top w:w="85" w:type="dxa"/>
              <w:bottom w:w="85" w:type="dxa"/>
              <w:left w:w="95" w:type="dxa"/>
              <w:right w:w="95" w:type="dxa"/>
            </w:tcMar>
            <w:shd w:fill="FFFFFF"/>
          </w:tcPr>
          <w:p>
            <w:pPr>
              <w:pStyle w:val="TableText"/>
              <w:keepNext w:val="0"/>
              <w:keepLines/>
              <w:jc w:val="center"/>
            </w:pPr>
            <w:r>
              <w:rPr>
                <w:sz w:val="20"/>
              </w:rPr>
              <w:t>Moon</w:t>
            </w:r>
          </w:p>
        </w:tc>
        <w:tc>
          <w:tcPr>
            <w:tcW w:type="dxa" w:w="2794"/>
            <w:vAlign w:val="center"/>
            <w:tcMar>
              <w:top w:w="85" w:type="dxa"/>
              <w:bottom w:w="85" w:type="dxa"/>
              <w:left w:w="95" w:type="dxa"/>
              <w:right w:w="95" w:type="dxa"/>
            </w:tcMar>
            <w:shd w:fill="FFFFFF"/>
          </w:tcPr>
          <w:p>
            <w:pPr>
              <w:pStyle w:val="TableText"/>
              <w:keepNext w:val="0"/>
              <w:keepLines/>
            </w:pPr>
            <w:r>
              <w:rPr>
                <w:sz w:val="20"/>
              </w:rPr>
              <w:t>MO-S1 Earthrise Rim; MO-S2 Shadow Basin; MO-L1 Regolith Hollows; MO-L2 Basalt Galleries; MO-L3 Glassfall Vaults</w:t>
            </w:r>
          </w:p>
        </w:tc>
        <w:tc>
          <w:tcPr>
            <w:tcW w:type="dxa" w:w="2707"/>
            <w:vAlign w:val="center"/>
            <w:tcMar>
              <w:top w:w="85" w:type="dxa"/>
              <w:bottom w:w="85" w:type="dxa"/>
              <w:left w:w="95" w:type="dxa"/>
              <w:right w:w="95" w:type="dxa"/>
            </w:tcMar>
            <w:shd w:fill="FFFFFF"/>
          </w:tcPr>
          <w:p>
            <w:pPr>
              <w:pStyle w:val="TableText"/>
              <w:keepNext w:val="0"/>
              <w:keepLines/>
            </w:pPr>
            <w:r>
              <w:rPr>
                <w:sz w:val="20"/>
              </w:rPr>
              <w:t>Lunar Shelter Controller; Rim Observatory Controller</w:t>
            </w:r>
          </w:p>
        </w:tc>
        <w:tc>
          <w:tcPr>
            <w:tcW w:type="dxa" w:w="2549"/>
            <w:vAlign w:val="center"/>
            <w:tcMar>
              <w:top w:w="85" w:type="dxa"/>
              <w:bottom w:w="85" w:type="dxa"/>
              <w:left w:w="95" w:type="dxa"/>
              <w:right w:w="95" w:type="dxa"/>
            </w:tcMar>
            <w:shd w:fill="FFFFFF"/>
          </w:tcPr>
          <w:p>
            <w:pPr>
              <w:pStyle w:val="TableText"/>
              <w:keepNext w:val="0"/>
              <w:keepLines/>
            </w:pPr>
            <w:r>
              <w:rPr>
                <w:sz w:val="20"/>
              </w:rPr>
              <w:t>A Light Across the Basin; reflector route</w:t>
            </w:r>
          </w:p>
        </w:tc>
      </w:tr>
      <w:tr>
        <w:trPr>
          <w:cantSplit/>
        </w:trPr>
        <w:tc>
          <w:tcPr>
            <w:tcW w:type="dxa" w:w="1944"/>
            <w:vAlign w:val="center"/>
            <w:tcMar>
              <w:top w:w="85" w:type="dxa"/>
              <w:bottom w:w="85" w:type="dxa"/>
              <w:left w:w="95" w:type="dxa"/>
              <w:right w:w="95" w:type="dxa"/>
            </w:tcMar>
            <w:shd w:fill="F3F5F6"/>
          </w:tcPr>
          <w:p>
            <w:pPr>
              <w:pStyle w:val="TableText"/>
              <w:keepNext w:val="0"/>
              <w:keepLines/>
              <w:jc w:val="center"/>
            </w:pPr>
            <w:r>
              <w:rPr>
                <w:sz w:val="20"/>
              </w:rPr>
              <w:t>Mars</w:t>
            </w:r>
          </w:p>
        </w:tc>
        <w:tc>
          <w:tcPr>
            <w:tcW w:type="dxa" w:w="2794"/>
            <w:vAlign w:val="center"/>
            <w:tcMar>
              <w:top w:w="85" w:type="dxa"/>
              <w:bottom w:w="85" w:type="dxa"/>
              <w:left w:w="95" w:type="dxa"/>
              <w:right w:w="95" w:type="dxa"/>
            </w:tcMar>
            <w:shd w:fill="F3F5F6"/>
          </w:tcPr>
          <w:p>
            <w:pPr>
              <w:pStyle w:val="TableText"/>
              <w:keepNext w:val="0"/>
              <w:keepLines/>
            </w:pPr>
            <w:r>
              <w:rPr>
                <w:sz w:val="20"/>
              </w:rPr>
              <w:t>MA-S1 Windcut Tablelands; MA-S2 Buried Delta; MA-L1 Ochre Galleries; MA-L2 Brine Scarps; MA-L3 Rootstone Chambers</w:t>
            </w:r>
          </w:p>
        </w:tc>
        <w:tc>
          <w:tcPr>
            <w:tcW w:type="dxa" w:w="2707"/>
            <w:vAlign w:val="center"/>
            <w:tcMar>
              <w:top w:w="85" w:type="dxa"/>
              <w:bottom w:w="85" w:type="dxa"/>
              <w:left w:w="95" w:type="dxa"/>
              <w:right w:w="95" w:type="dxa"/>
            </w:tcMar>
            <w:shd w:fill="F3F5F6"/>
          </w:tcPr>
          <w:p>
            <w:pPr>
              <w:pStyle w:val="TableText"/>
              <w:keepNext w:val="0"/>
              <w:keepLines/>
            </w:pPr>
            <w:r>
              <w:rPr>
                <w:sz w:val="20"/>
              </w:rPr>
              <w:t>Frontier Yard Controller</w:t>
            </w:r>
          </w:p>
        </w:tc>
        <w:tc>
          <w:tcPr>
            <w:tcW w:type="dxa" w:w="2549"/>
            <w:vAlign w:val="center"/>
            <w:tcMar>
              <w:top w:w="85" w:type="dxa"/>
              <w:bottom w:w="85" w:type="dxa"/>
              <w:left w:w="95" w:type="dxa"/>
              <w:right w:w="95" w:type="dxa"/>
            </w:tcMar>
            <w:shd w:fill="F3F5F6"/>
          </w:tcPr>
          <w:p>
            <w:pPr>
              <w:pStyle w:val="TableText"/>
              <w:keepNext w:val="0"/>
              <w:keepLines/>
            </w:pPr>
            <w:r>
              <w:rPr>
                <w:sz w:val="20"/>
              </w:rPr>
              <w:t>The River That Isn't There; buried drainage survey</w:t>
            </w:r>
          </w:p>
        </w:tc>
      </w:tr>
      <w:tr>
        <w:trPr>
          <w:cantSplit/>
        </w:trPr>
        <w:tc>
          <w:tcPr>
            <w:tcW w:type="dxa" w:w="1944"/>
            <w:vAlign w:val="center"/>
            <w:tcMar>
              <w:top w:w="85" w:type="dxa"/>
              <w:bottom w:w="85" w:type="dxa"/>
              <w:left w:w="95" w:type="dxa"/>
              <w:right w:w="95" w:type="dxa"/>
            </w:tcMar>
            <w:shd w:fill="FFFFFF"/>
          </w:tcPr>
          <w:p>
            <w:pPr>
              <w:pStyle w:val="TableText"/>
              <w:keepNext w:val="0"/>
              <w:keepLines/>
              <w:jc w:val="center"/>
            </w:pPr>
            <w:r>
              <w:rPr>
                <w:sz w:val="20"/>
              </w:rPr>
              <w:t>Ceres</w:t>
            </w:r>
          </w:p>
        </w:tc>
        <w:tc>
          <w:tcPr>
            <w:tcW w:type="dxa" w:w="2794"/>
            <w:vAlign w:val="center"/>
            <w:tcMar>
              <w:top w:w="85" w:type="dxa"/>
              <w:bottom w:w="85" w:type="dxa"/>
              <w:left w:w="95" w:type="dxa"/>
              <w:right w:w="95" w:type="dxa"/>
            </w:tcMar>
            <w:shd w:fill="FFFFFF"/>
          </w:tcPr>
          <w:p>
            <w:pPr>
              <w:pStyle w:val="TableText"/>
              <w:keepNext w:val="0"/>
              <w:keepLines/>
            </w:pPr>
            <w:r>
              <w:rPr>
                <w:sz w:val="20"/>
              </w:rPr>
              <w:t>CE-S1 Broken Crown; CE-L1 Rubble Mazes; CE-L2 Ice Pockets; CE-L3 Anchorstone Spine</w:t>
            </w:r>
          </w:p>
        </w:tc>
        <w:tc>
          <w:tcPr>
            <w:tcW w:type="dxa" w:w="2707"/>
            <w:vAlign w:val="center"/>
            <w:tcMar>
              <w:top w:w="85" w:type="dxa"/>
              <w:bottom w:w="85" w:type="dxa"/>
              <w:left w:w="95" w:type="dxa"/>
              <w:right w:w="95" w:type="dxa"/>
            </w:tcMar>
            <w:shd w:fill="FFFFFF"/>
          </w:tcPr>
          <w:p>
            <w:pPr>
              <w:pStyle w:val="TableText"/>
              <w:keepNext w:val="0"/>
              <w:keepLines/>
            </w:pPr>
            <w:r>
              <w:rPr>
                <w:sz w:val="20"/>
              </w:rPr>
              <w:t>Tetherworks Controller</w:t>
            </w:r>
          </w:p>
        </w:tc>
        <w:tc>
          <w:tcPr>
            <w:tcW w:type="dxa" w:w="2549"/>
            <w:vAlign w:val="center"/>
            <w:tcMar>
              <w:top w:w="85" w:type="dxa"/>
              <w:bottom w:w="85" w:type="dxa"/>
              <w:left w:w="95" w:type="dxa"/>
              <w:right w:w="95" w:type="dxa"/>
            </w:tcMar>
            <w:shd w:fill="FFFFFF"/>
          </w:tcPr>
          <w:p>
            <w:pPr>
              <w:pStyle w:val="TableText"/>
              <w:keepNext w:val="0"/>
              <w:keepLines/>
            </w:pPr>
            <w:r>
              <w:rPr>
                <w:sz w:val="20"/>
              </w:rPr>
              <w:t>Holdfast; anchored cargo route</w:t>
            </w:r>
          </w:p>
        </w:tc>
      </w:tr>
      <w:tr>
        <w:trPr>
          <w:cantSplit/>
        </w:trPr>
        <w:tc>
          <w:tcPr>
            <w:tcW w:type="dxa" w:w="1944"/>
            <w:vAlign w:val="center"/>
            <w:tcMar>
              <w:top w:w="85" w:type="dxa"/>
              <w:bottom w:w="85" w:type="dxa"/>
              <w:left w:w="95" w:type="dxa"/>
              <w:right w:w="95" w:type="dxa"/>
            </w:tcMar>
            <w:shd w:fill="F3F5F6"/>
          </w:tcPr>
          <w:p>
            <w:pPr>
              <w:pStyle w:val="TableText"/>
              <w:keepNext w:val="0"/>
              <w:keepLines/>
              <w:jc w:val="center"/>
            </w:pPr>
            <w:r>
              <w:rPr>
                <w:sz w:val="20"/>
              </w:rPr>
              <w:t>Europa</w:t>
            </w:r>
          </w:p>
        </w:tc>
        <w:tc>
          <w:tcPr>
            <w:tcW w:type="dxa" w:w="2794"/>
            <w:vAlign w:val="center"/>
            <w:tcMar>
              <w:top w:w="85" w:type="dxa"/>
              <w:bottom w:w="85" w:type="dxa"/>
              <w:left w:w="95" w:type="dxa"/>
              <w:right w:w="95" w:type="dxa"/>
            </w:tcMar>
            <w:shd w:fill="F3F5F6"/>
          </w:tcPr>
          <w:p>
            <w:pPr>
              <w:pStyle w:val="TableText"/>
              <w:keepNext w:val="0"/>
              <w:keepLines/>
            </w:pPr>
            <w:r>
              <w:rPr>
                <w:sz w:val="20"/>
              </w:rPr>
              <w:t>EU-S1 Fracture Plains; EU-L1 Blue Pressure Halls; EU-L2 Lantern Ocean; EU-L3 Vent Gardens</w:t>
            </w:r>
          </w:p>
        </w:tc>
        <w:tc>
          <w:tcPr>
            <w:tcW w:type="dxa" w:w="2707"/>
            <w:vAlign w:val="center"/>
            <w:tcMar>
              <w:top w:w="85" w:type="dxa"/>
              <w:bottom w:w="85" w:type="dxa"/>
              <w:left w:w="95" w:type="dxa"/>
              <w:right w:w="95" w:type="dxa"/>
            </w:tcMar>
            <w:shd w:fill="F3F5F6"/>
          </w:tcPr>
          <w:p>
            <w:pPr>
              <w:pStyle w:val="TableText"/>
              <w:keepNext w:val="0"/>
              <w:keepLines/>
            </w:pPr>
            <w:r>
              <w:rPr>
                <w:sz w:val="20"/>
              </w:rPr>
              <w:t>Ice Descent Controller</w:t>
            </w:r>
          </w:p>
        </w:tc>
        <w:tc>
          <w:tcPr>
            <w:tcW w:type="dxa" w:w="2549"/>
            <w:vAlign w:val="center"/>
            <w:tcMar>
              <w:top w:w="85" w:type="dxa"/>
              <w:bottom w:w="85" w:type="dxa"/>
              <w:left w:w="95" w:type="dxa"/>
              <w:right w:w="95" w:type="dxa"/>
            </w:tcMar>
            <w:shd w:fill="F3F5F6"/>
          </w:tcPr>
          <w:p>
            <w:pPr>
              <w:pStyle w:val="TableText"/>
              <w:keepNext w:val="0"/>
              <w:keepLines/>
            </w:pPr>
            <w:r>
              <w:rPr>
                <w:sz w:val="20"/>
              </w:rPr>
              <w:t>Where the Ceiling Glows; non-destructive garden observatory</w:t>
            </w:r>
          </w:p>
        </w:tc>
      </w:tr>
      <w:tr>
        <w:trPr>
          <w:cantSplit/>
        </w:trPr>
        <w:tc>
          <w:tcPr>
            <w:tcW w:type="dxa" w:w="1944"/>
            <w:vAlign w:val="center"/>
            <w:tcMar>
              <w:top w:w="85" w:type="dxa"/>
              <w:bottom w:w="85" w:type="dxa"/>
              <w:left w:w="95" w:type="dxa"/>
              <w:right w:w="95" w:type="dxa"/>
            </w:tcMar>
            <w:shd w:fill="FFFFFF"/>
          </w:tcPr>
          <w:p>
            <w:pPr>
              <w:pStyle w:val="TableText"/>
              <w:keepNext w:val="0"/>
              <w:keepLines/>
              <w:jc w:val="center"/>
            </w:pPr>
            <w:r>
              <w:rPr>
                <w:sz w:val="20"/>
              </w:rPr>
              <w:t>Io</w:t>
            </w:r>
          </w:p>
        </w:tc>
        <w:tc>
          <w:tcPr>
            <w:tcW w:type="dxa" w:w="2794"/>
            <w:vAlign w:val="center"/>
            <w:tcMar>
              <w:top w:w="85" w:type="dxa"/>
              <w:bottom w:w="85" w:type="dxa"/>
              <w:left w:w="95" w:type="dxa"/>
              <w:right w:w="95" w:type="dxa"/>
            </w:tcMar>
            <w:shd w:fill="FFFFFF"/>
          </w:tcPr>
          <w:p>
            <w:pPr>
              <w:pStyle w:val="TableText"/>
              <w:keepNext w:val="0"/>
              <w:keepLines/>
            </w:pPr>
            <w:r>
              <w:rPr>
                <w:sz w:val="20"/>
              </w:rPr>
              <w:t>IO-S1 Sulfur Terraces; IO-L1 Cooling Galleries; IO-L2 Pressure Orchards; IO-L3 Furnace Wells</w:t>
            </w:r>
          </w:p>
        </w:tc>
        <w:tc>
          <w:tcPr>
            <w:tcW w:type="dxa" w:w="2707"/>
            <w:vAlign w:val="center"/>
            <w:tcMar>
              <w:top w:w="85" w:type="dxa"/>
              <w:bottom w:w="85" w:type="dxa"/>
              <w:left w:w="95" w:type="dxa"/>
              <w:right w:w="95" w:type="dxa"/>
            </w:tcMar>
            <w:shd w:fill="FFFFFF"/>
          </w:tcPr>
          <w:p>
            <w:pPr>
              <w:pStyle w:val="TableText"/>
              <w:keepNext w:val="0"/>
              <w:keepLines/>
            </w:pPr>
            <w:r>
              <w:rPr>
                <w:sz w:val="20"/>
              </w:rPr>
              <w:t>Heatworks Controller</w:t>
            </w:r>
          </w:p>
        </w:tc>
        <w:tc>
          <w:tcPr>
            <w:tcW w:type="dxa" w:w="2549"/>
            <w:vAlign w:val="center"/>
            <w:tcMar>
              <w:top w:w="85" w:type="dxa"/>
              <w:bottom w:w="85" w:type="dxa"/>
              <w:left w:w="95" w:type="dxa"/>
              <w:right w:w="95" w:type="dxa"/>
            </w:tcMar>
            <w:shd w:fill="FFFFFF"/>
          </w:tcPr>
          <w:p>
            <w:pPr>
              <w:pStyle w:val="TableText"/>
              <w:keepNext w:val="0"/>
              <w:keepLines/>
            </w:pPr>
            <w:r>
              <w:rPr>
                <w:sz w:val="20"/>
              </w:rPr>
              <w:t>Borrowed Fire; heat-exchanger commissioning</w:t>
            </w:r>
          </w:p>
        </w:tc>
      </w:tr>
      <w:tr>
        <w:trPr>
          <w:cantSplit/>
        </w:trPr>
        <w:tc>
          <w:tcPr>
            <w:tcW w:type="dxa" w:w="1944"/>
            <w:vAlign w:val="center"/>
            <w:tcMar>
              <w:top w:w="85" w:type="dxa"/>
              <w:bottom w:w="85" w:type="dxa"/>
              <w:left w:w="95" w:type="dxa"/>
              <w:right w:w="95" w:type="dxa"/>
            </w:tcMar>
            <w:shd w:fill="F3F5F6"/>
          </w:tcPr>
          <w:p>
            <w:pPr>
              <w:pStyle w:val="TableText"/>
              <w:keepNext w:val="0"/>
              <w:keepLines/>
              <w:jc w:val="center"/>
            </w:pPr>
            <w:r>
              <w:rPr>
                <w:sz w:val="20"/>
              </w:rPr>
              <w:t>Titan</w:t>
            </w:r>
          </w:p>
        </w:tc>
        <w:tc>
          <w:tcPr>
            <w:tcW w:type="dxa" w:w="2794"/>
            <w:vAlign w:val="center"/>
            <w:tcMar>
              <w:top w:w="85" w:type="dxa"/>
              <w:bottom w:w="85" w:type="dxa"/>
              <w:left w:w="95" w:type="dxa"/>
              <w:right w:w="95" w:type="dxa"/>
            </w:tcMar>
            <w:shd w:fill="F3F5F6"/>
          </w:tcPr>
          <w:p>
            <w:pPr>
              <w:pStyle w:val="TableText"/>
              <w:keepNext w:val="0"/>
              <w:keepLines/>
            </w:pPr>
            <w:r>
              <w:rPr>
                <w:sz w:val="20"/>
              </w:rPr>
              <w:t>TI-S1 Amber Littoral; TI-L1 Waxstone Canyons; TI-L2 Hollow Weather; TI-L3 Slow Gardens</w:t>
            </w:r>
          </w:p>
        </w:tc>
        <w:tc>
          <w:tcPr>
            <w:tcW w:type="dxa" w:w="2707"/>
            <w:vAlign w:val="center"/>
            <w:tcMar>
              <w:top w:w="85" w:type="dxa"/>
              <w:bottom w:w="85" w:type="dxa"/>
              <w:left w:w="95" w:type="dxa"/>
              <w:right w:w="95" w:type="dxa"/>
            </w:tcMar>
            <w:shd w:fill="F3F5F6"/>
          </w:tcPr>
          <w:p>
            <w:pPr>
              <w:pStyle w:val="TableText"/>
              <w:keepNext w:val="0"/>
              <w:keepLines/>
            </w:pPr>
            <w:r>
              <w:rPr>
                <w:sz w:val="20"/>
              </w:rPr>
              <w:t>Harbor Lantern Controller</w:t>
            </w:r>
          </w:p>
        </w:tc>
        <w:tc>
          <w:tcPr>
            <w:tcW w:type="dxa" w:w="2549"/>
            <w:vAlign w:val="center"/>
            <w:tcMar>
              <w:top w:w="85" w:type="dxa"/>
              <w:bottom w:w="85" w:type="dxa"/>
              <w:left w:w="95" w:type="dxa"/>
              <w:right w:w="95" w:type="dxa"/>
            </w:tcMar>
            <w:shd w:fill="F3F5F6"/>
          </w:tcPr>
          <w:p>
            <w:pPr>
              <w:pStyle w:val="TableText"/>
              <w:keepNext w:val="0"/>
              <w:keepLines/>
            </w:pPr>
            <w:r>
              <w:rPr>
                <w:sz w:val="20"/>
              </w:rPr>
              <w:t>A Route Through the Haze; connected observation route</w:t>
            </w:r>
          </w:p>
        </w:tc>
      </w:tr>
      <w:tr>
        <w:trPr>
          <w:cantSplit/>
        </w:trPr>
        <w:tc>
          <w:tcPr>
            <w:tcW w:type="dxa" w:w="1944"/>
            <w:vAlign w:val="center"/>
            <w:tcMar>
              <w:top w:w="85" w:type="dxa"/>
              <w:bottom w:w="85" w:type="dxa"/>
              <w:left w:w="95" w:type="dxa"/>
              <w:right w:w="95" w:type="dxa"/>
            </w:tcMar>
            <w:shd w:fill="FFFFFF"/>
          </w:tcPr>
          <w:p>
            <w:pPr>
              <w:pStyle w:val="TableText"/>
              <w:keepNext w:val="0"/>
              <w:keepLines/>
              <w:jc w:val="center"/>
            </w:pPr>
            <w:r>
              <w:rPr>
                <w:sz w:val="20"/>
              </w:rPr>
              <w:t>Pluto</w:t>
            </w:r>
          </w:p>
        </w:tc>
        <w:tc>
          <w:tcPr>
            <w:tcW w:type="dxa" w:w="2794"/>
            <w:vAlign w:val="center"/>
            <w:tcMar>
              <w:top w:w="85" w:type="dxa"/>
              <w:bottom w:w="85" w:type="dxa"/>
              <w:left w:w="95" w:type="dxa"/>
              <w:right w:w="95" w:type="dxa"/>
            </w:tcMar>
            <w:shd w:fill="FFFFFF"/>
          </w:tcPr>
          <w:p>
            <w:pPr>
              <w:pStyle w:val="TableText"/>
              <w:keepNext w:val="0"/>
              <w:keepLines/>
            </w:pPr>
            <w:r>
              <w:rPr>
                <w:sz w:val="20"/>
              </w:rPr>
              <w:t>PL-S1 Long Shadow Plain; PL-L1 Frost Fold; PL-L2 Nightglass Rifts; PL-L3 Quiet Lens</w:t>
            </w:r>
          </w:p>
        </w:tc>
        <w:tc>
          <w:tcPr>
            <w:tcW w:type="dxa" w:w="2707"/>
            <w:vAlign w:val="center"/>
            <w:tcMar>
              <w:top w:w="85" w:type="dxa"/>
              <w:bottom w:w="85" w:type="dxa"/>
              <w:left w:w="95" w:type="dxa"/>
              <w:right w:w="95" w:type="dxa"/>
            </w:tcMar>
            <w:shd w:fill="FFFFFF"/>
          </w:tcPr>
          <w:p>
            <w:pPr>
              <w:pStyle w:val="TableText"/>
              <w:keepNext w:val="0"/>
              <w:keepLines/>
            </w:pPr>
            <w:r>
              <w:rPr>
                <w:sz w:val="20"/>
              </w:rPr>
              <w:t>Far Observatory Controller</w:t>
            </w:r>
          </w:p>
        </w:tc>
        <w:tc>
          <w:tcPr>
            <w:tcW w:type="dxa" w:w="2549"/>
            <w:vAlign w:val="center"/>
            <w:tcMar>
              <w:top w:w="85" w:type="dxa"/>
              <w:bottom w:w="85" w:type="dxa"/>
              <w:left w:w="95" w:type="dxa"/>
              <w:right w:w="95" w:type="dxa"/>
            </w:tcMar>
            <w:shd w:fill="FFFFFF"/>
          </w:tcPr>
          <w:p>
            <w:pPr>
              <w:pStyle w:val="TableText"/>
              <w:keepNext w:val="0"/>
              <w:keepLines/>
            </w:pPr>
            <w:r>
              <w:rPr>
                <w:sz w:val="20"/>
              </w:rPr>
              <w:t>The Last Familiar Sky; lens alignment</w:t>
            </w:r>
          </w:p>
        </w:tc>
      </w:tr>
      <w:tr>
        <w:trPr>
          <w:cantSplit/>
        </w:trPr>
        <w:tc>
          <w:tcPr>
            <w:tcW w:type="dxa" w:w="1944"/>
            <w:vAlign w:val="center"/>
            <w:tcMar>
              <w:top w:w="85" w:type="dxa"/>
              <w:bottom w:w="85" w:type="dxa"/>
              <w:left w:w="95" w:type="dxa"/>
              <w:right w:w="95" w:type="dxa"/>
            </w:tcMar>
            <w:shd w:fill="F3F5F6"/>
          </w:tcPr>
          <w:p>
            <w:pPr>
              <w:pStyle w:val="TableText"/>
              <w:keepNext w:val="0"/>
              <w:keepLines/>
            </w:pPr>
            <w:r>
              <w:rPr>
                <w:sz w:val="20"/>
              </w:rPr>
              <w:t>Afterlight System / Cairn</w:t>
            </w:r>
          </w:p>
        </w:tc>
        <w:tc>
          <w:tcPr>
            <w:tcW w:type="dxa" w:w="2794"/>
            <w:vAlign w:val="center"/>
            <w:tcMar>
              <w:top w:w="85" w:type="dxa"/>
              <w:bottom w:w="85" w:type="dxa"/>
              <w:left w:w="95" w:type="dxa"/>
              <w:right w:w="95" w:type="dxa"/>
            </w:tcMar>
            <w:shd w:fill="F3F5F6"/>
          </w:tcPr>
          <w:p>
            <w:pPr>
              <w:pStyle w:val="TableText"/>
              <w:keepNext w:val="0"/>
              <w:keepLines/>
            </w:pPr>
            <w:r>
              <w:rPr>
                <w:sz w:val="20"/>
              </w:rPr>
              <w:t>CA-S1 Shard March; CA-L1 Inverted Terraces; CA-L2 Palimpsest Halls; CA-L3 Witness Engine</w:t>
            </w:r>
          </w:p>
        </w:tc>
        <w:tc>
          <w:tcPr>
            <w:tcW w:type="dxa" w:w="2707"/>
            <w:vAlign w:val="center"/>
            <w:tcMar>
              <w:top w:w="85" w:type="dxa"/>
              <w:bottom w:w="85" w:type="dxa"/>
              <w:left w:w="95" w:type="dxa"/>
              <w:right w:w="95" w:type="dxa"/>
            </w:tcMar>
            <w:shd w:fill="F3F5F6"/>
          </w:tcPr>
          <w:p>
            <w:pPr>
              <w:pStyle w:val="TableText"/>
              <w:keepNext w:val="0"/>
              <w:keepLines/>
            </w:pPr>
            <w:r>
              <w:rPr>
                <w:sz w:val="20"/>
              </w:rPr>
              <w:t>Witness Camp Controller</w:t>
            </w:r>
          </w:p>
        </w:tc>
        <w:tc>
          <w:tcPr>
            <w:tcW w:type="dxa" w:w="2549"/>
            <w:vAlign w:val="center"/>
            <w:tcMar>
              <w:top w:w="85" w:type="dxa"/>
              <w:bottom w:w="85" w:type="dxa"/>
              <w:left w:w="95" w:type="dxa"/>
              <w:right w:w="95" w:type="dxa"/>
            </w:tcMar>
            <w:shd w:fill="F3F5F6"/>
          </w:tcPr>
          <w:p>
            <w:pPr>
              <w:pStyle w:val="TableText"/>
              <w:keepNext w:val="0"/>
              <w:keepLines/>
            </w:pPr>
            <w:r>
              <w:rPr>
                <w:sz w:val="20"/>
              </w:rPr>
              <w:t>What Remains in the Gaps; bounded anomalous installation</w:t>
            </w:r>
          </w:p>
        </w:tc>
      </w:tr>
      <w:tr>
        <w:trPr>
          <w:cantSplit/>
        </w:trPr>
        <w:tc>
          <w:tcPr>
            <w:tcW w:type="dxa" w:w="1944"/>
            <w:vAlign w:val="center"/>
            <w:tcMar>
              <w:top w:w="85" w:type="dxa"/>
              <w:bottom w:w="85" w:type="dxa"/>
              <w:left w:w="95" w:type="dxa"/>
              <w:right w:w="95" w:type="dxa"/>
            </w:tcMar>
            <w:shd w:fill="FFFFFF"/>
          </w:tcPr>
          <w:p>
            <w:pPr>
              <w:pStyle w:val="TableText"/>
              <w:keepNext w:val="0"/>
              <w:keepLines/>
            </w:pPr>
            <w:r>
              <w:rPr>
                <w:sz w:val="20"/>
              </w:rPr>
              <w:t>Afterlight System / Morrow</w:t>
            </w:r>
          </w:p>
        </w:tc>
        <w:tc>
          <w:tcPr>
            <w:tcW w:type="dxa" w:w="2794"/>
            <w:vAlign w:val="center"/>
            <w:tcMar>
              <w:top w:w="85" w:type="dxa"/>
              <w:bottom w:w="85" w:type="dxa"/>
              <w:left w:w="95" w:type="dxa"/>
              <w:right w:w="95" w:type="dxa"/>
            </w:tcMar>
            <w:shd w:fill="FFFFFF"/>
          </w:tcPr>
          <w:p>
            <w:pPr>
              <w:pStyle w:val="TableText"/>
              <w:keepNext w:val="0"/>
              <w:keepLines/>
            </w:pPr>
            <w:r>
              <w:rPr>
                <w:sz w:val="20"/>
              </w:rPr>
              <w:t>MR-S1 Dawn Canopy; MR-L1 Rooted Vaults; MR-L2 Tide Orchards; MR-L3 Hearthsea</w:t>
            </w:r>
          </w:p>
        </w:tc>
        <w:tc>
          <w:tcPr>
            <w:tcW w:type="dxa" w:w="2707"/>
            <w:vAlign w:val="center"/>
            <w:tcMar>
              <w:top w:w="85" w:type="dxa"/>
              <w:bottom w:w="85" w:type="dxa"/>
              <w:left w:w="95" w:type="dxa"/>
              <w:right w:w="95" w:type="dxa"/>
            </w:tcMar>
            <w:shd w:fill="FFFFFF"/>
          </w:tcPr>
          <w:p>
            <w:pPr>
              <w:pStyle w:val="TableText"/>
              <w:keepNext w:val="0"/>
              <w:keepLines/>
            </w:pPr>
            <w:r>
              <w:rPr>
                <w:sz w:val="20"/>
              </w:rPr>
              <w:t>Hearthsea Conservatory Controller</w:t>
            </w:r>
          </w:p>
        </w:tc>
        <w:tc>
          <w:tcPr>
            <w:tcW w:type="dxa" w:w="2549"/>
            <w:vAlign w:val="center"/>
            <w:tcMar>
              <w:top w:w="85" w:type="dxa"/>
              <w:bottom w:w="85" w:type="dxa"/>
              <w:left w:w="95" w:type="dxa"/>
              <w:right w:w="95" w:type="dxa"/>
            </w:tcMar>
            <w:shd w:fill="FFFFFF"/>
          </w:tcPr>
          <w:p>
            <w:pPr>
              <w:pStyle w:val="TableText"/>
              <w:keepNext w:val="0"/>
              <w:keepLines/>
            </w:pPr>
            <w:r>
              <w:rPr>
                <w:sz w:val="20"/>
              </w:rPr>
              <w:t>A Place for Tomorrow; selected local restoration</w:t>
            </w:r>
          </w:p>
        </w:tc>
      </w:tr>
      <w:tr>
        <w:trPr>
          <w:cantSplit/>
        </w:trPr>
        <w:tc>
          <w:tcPr>
            <w:tcW w:type="dxa" w:w="1944"/>
            <w:vAlign w:val="center"/>
            <w:tcMar>
              <w:top w:w="85" w:type="dxa"/>
              <w:bottom w:w="85" w:type="dxa"/>
              <w:left w:w="95" w:type="dxa"/>
              <w:right w:w="95" w:type="dxa"/>
            </w:tcMar>
            <w:shd w:fill="F3F5F6"/>
          </w:tcPr>
          <w:p>
            <w:pPr>
              <w:pStyle w:val="TableText"/>
              <w:keepNext w:val="0"/>
              <w:keepLines/>
              <w:jc w:val="center"/>
            </w:pPr>
            <w:r>
              <w:rPr>
                <w:sz w:val="20"/>
              </w:rPr>
              <w:t>Orbital hubs</w:t>
            </w:r>
          </w:p>
        </w:tc>
        <w:tc>
          <w:tcPr>
            <w:tcW w:type="dxa" w:w="2794"/>
            <w:vAlign w:val="center"/>
            <w:tcMar>
              <w:top w:w="85" w:type="dxa"/>
              <w:bottom w:w="85" w:type="dxa"/>
              <w:left w:w="95" w:type="dxa"/>
              <w:right w:w="95" w:type="dxa"/>
            </w:tcMar>
            <w:shd w:fill="F3F5F6"/>
          </w:tcPr>
          <w:p>
            <w:pPr>
              <w:pStyle w:val="TableText"/>
              <w:keepNext w:val="0"/>
              <w:keepLines/>
            </w:pPr>
            <w:r>
              <w:rPr>
                <w:sz w:val="20"/>
              </w:rPr>
              <w:t>Home Orbit Anchorage; Transfer Yard</w:t>
            </w:r>
          </w:p>
        </w:tc>
        <w:tc>
          <w:tcPr>
            <w:tcW w:type="dxa" w:w="2707"/>
            <w:vAlign w:val="center"/>
            <w:tcMar>
              <w:top w:w="85" w:type="dxa"/>
              <w:bottom w:w="85" w:type="dxa"/>
              <w:left w:w="95" w:type="dxa"/>
              <w:right w:w="95" w:type="dxa"/>
            </w:tcMar>
            <w:shd w:fill="F3F5F6"/>
          </w:tcPr>
          <w:p>
            <w:pPr>
              <w:pStyle w:val="TableText"/>
              <w:keepNext w:val="0"/>
              <w:keepLines/>
            </w:pPr>
            <w:r>
              <w:rPr>
                <w:sz w:val="20"/>
              </w:rPr>
              <w:t>Station Controller</w:t>
            </w:r>
          </w:p>
        </w:tc>
        <w:tc>
          <w:tcPr>
            <w:tcW w:type="dxa" w:w="2549"/>
            <w:vAlign w:val="center"/>
            <w:tcMar>
              <w:top w:w="85" w:type="dxa"/>
              <w:bottom w:w="85" w:type="dxa"/>
              <w:left w:w="95" w:type="dxa"/>
              <w:right w:w="95" w:type="dxa"/>
            </w:tcMar>
            <w:shd w:fill="F3F5F6"/>
          </w:tcPr>
          <w:p>
            <w:pPr>
              <w:pStyle w:val="TableText"/>
              <w:keepNext w:val="0"/>
              <w:keepLines/>
            </w:pPr>
            <w:r>
              <w:rPr>
                <w:sz w:val="20"/>
              </w:rPr>
              <w:t>First docking; cargo transfer; gas-giant observation</w:t>
            </w:r>
          </w:p>
        </w:tc>
      </w:tr>
      <w:tr>
        <w:trPr>
          <w:cantSplit/>
        </w:trPr>
        <w:tc>
          <w:tcPr>
            <w:tcW w:type="dxa" w:w="1944"/>
            <w:vAlign w:val="center"/>
            <w:tcMar>
              <w:top w:w="85" w:type="dxa"/>
              <w:bottom w:w="85" w:type="dxa"/>
              <w:left w:w="95" w:type="dxa"/>
              <w:right w:w="95" w:type="dxa"/>
            </w:tcMar>
            <w:shd w:fill="FFFFFF"/>
          </w:tcPr>
          <w:p>
            <w:pPr>
              <w:pStyle w:val="TableText"/>
              <w:keepNext w:val="0"/>
              <w:keepLines/>
            </w:pPr>
            <w:r>
              <w:rPr>
                <w:sz w:val="20"/>
              </w:rPr>
              <w:t>Spacecraft construction</w:t>
            </w:r>
          </w:p>
        </w:tc>
        <w:tc>
          <w:tcPr>
            <w:tcW w:type="dxa" w:w="2794"/>
            <w:vAlign w:val="center"/>
            <w:tcMar>
              <w:top w:w="85" w:type="dxa"/>
              <w:bottom w:w="85" w:type="dxa"/>
              <w:left w:w="95" w:type="dxa"/>
              <w:right w:w="95" w:type="dxa"/>
            </w:tcMar>
            <w:shd w:fill="FFFFFF"/>
          </w:tcPr>
          <w:p>
            <w:pPr>
              <w:pStyle w:val="TableText"/>
              <w:keepNext w:val="0"/>
              <w:keepLines/>
            </w:pPr>
            <w:r>
              <w:rPr>
                <w:sz w:val="20"/>
              </w:rPr>
              <w:t>Shipyard; assembly gantry; outfitting deck</w:t>
            </w:r>
          </w:p>
        </w:tc>
        <w:tc>
          <w:tcPr>
            <w:tcW w:type="dxa" w:w="2707"/>
            <w:vAlign w:val="center"/>
            <w:tcMar>
              <w:top w:w="85" w:type="dxa"/>
              <w:bottom w:w="85" w:type="dxa"/>
              <w:left w:w="95" w:type="dxa"/>
              <w:right w:w="95" w:type="dxa"/>
            </w:tcMar>
            <w:shd w:fill="FFFFFF"/>
          </w:tcPr>
          <w:p>
            <w:pPr>
              <w:pStyle w:val="TableText"/>
              <w:keepNext w:val="0"/>
              <w:keepLines/>
            </w:pPr>
            <w:r>
              <w:rPr>
                <w:sz w:val="20"/>
              </w:rPr>
              <w:t>Shipyard Controller</w:t>
            </w:r>
          </w:p>
        </w:tc>
        <w:tc>
          <w:tcPr>
            <w:tcW w:type="dxa" w:w="2549"/>
            <w:vAlign w:val="center"/>
            <w:tcMar>
              <w:top w:w="85" w:type="dxa"/>
              <w:bottom w:w="85" w:type="dxa"/>
              <w:left w:w="95" w:type="dxa"/>
              <w:right w:w="95" w:type="dxa"/>
            </w:tcMar>
            <w:shd w:fill="FFFFFF"/>
          </w:tcPr>
          <w:p>
            <w:pPr>
              <w:pStyle w:val="TableText"/>
              <w:keepNext w:val="0"/>
              <w:keepLines/>
            </w:pPr>
            <w:r>
              <w:rPr>
                <w:sz w:val="20"/>
              </w:rPr>
              <w:t>Frame-to-flight staged construction; commissioning</w:t>
            </w:r>
          </w:p>
        </w:tc>
      </w:tr>
    </w:tbl>
    <w:p>
      <w:pPr>
        <w:spacing w:after="0" w:before="0" w:line="60" w:lineRule="exact"/>
      </w:pPr>
      <w:r>
        <w:rPr>
          <w:sz w:val="6"/>
        </w:rPr>
      </w:r>
    </w:p>
    <w:p>
      <w:pPr>
        <w:pStyle w:val="Heading3"/>
      </w:pPr>
      <w:r>
        <w:t>Raw resources processed materials and object subjects</w:t>
      </w:r>
    </w:p>
    <w:p>
      <w:pPr/>
      <w:r>
        <w:t>The eighteen named entries are a compact material catalog, not eighteen additional conventional ore blocks. The raw sources described here use ordinary descriptive names. This avoids creating a second naming layer that the player must memorize before crafting. Where a mineral or artifact is itself the useful item, its raw and prepared forms keep the same family name.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98"/>
        <w:gridCol w:w="3298"/>
        <w:gridCol w:w="4197"/>
      </w:tblGrid>
      <w:tr>
        <w:trPr>
          <w:cantSplit/>
          <w:tblHeader w:val="true"/>
        </w:trPr>
        <w:tc>
          <w:tcPr>
            <w:tcW w:type="dxa" w:w="2498"/>
            <w:vAlign w:val="center"/>
            <w:tcMar>
              <w:top w:w="85" w:type="dxa"/>
              <w:bottom w:w="85" w:type="dxa"/>
              <w:left w:w="95" w:type="dxa"/>
              <w:right w:w="95" w:type="dxa"/>
            </w:tcMar>
            <w:shd w:fill="233544"/>
          </w:tcPr>
          <w:p>
            <w:pPr>
              <w:pStyle w:val="TableText"/>
              <w:keepNext w:val="0"/>
              <w:keepLines/>
              <w:jc w:val="center"/>
            </w:pPr>
            <w:r>
              <w:rPr>
                <w:b/>
                <w:color w:val="FFFFFF"/>
                <w:sz w:val="20"/>
              </w:rPr>
              <w:t>World</w:t>
            </w:r>
          </w:p>
        </w:tc>
        <w:tc>
          <w:tcPr>
            <w:tcW w:type="dxa" w:w="3298"/>
            <w:vAlign w:val="center"/>
            <w:tcMar>
              <w:top w:w="85" w:type="dxa"/>
              <w:bottom w:w="85" w:type="dxa"/>
              <w:left w:w="95" w:type="dxa"/>
              <w:right w:w="95" w:type="dxa"/>
            </w:tcMar>
            <w:shd w:fill="233544"/>
          </w:tcPr>
          <w:p>
            <w:pPr>
              <w:pStyle w:val="TableText"/>
              <w:keepNext w:val="0"/>
              <w:keepLines/>
            </w:pPr>
            <w:r>
              <w:rPr>
                <w:b/>
                <w:color w:val="FFFFFF"/>
                <w:sz w:val="20"/>
              </w:rPr>
              <w:t>Raw source or collection method</w:t>
            </w:r>
          </w:p>
        </w:tc>
        <w:tc>
          <w:tcPr>
            <w:tcW w:type="dxa" w:w="4197"/>
            <w:vAlign w:val="center"/>
            <w:tcMar>
              <w:top w:w="85" w:type="dxa"/>
              <w:bottom w:w="85" w:type="dxa"/>
              <w:left w:w="95" w:type="dxa"/>
              <w:right w:w="95" w:type="dxa"/>
            </w:tcMar>
            <w:shd w:fill="233544"/>
          </w:tcPr>
          <w:p>
            <w:pPr>
              <w:pStyle w:val="TableText"/>
              <w:keepNext w:val="0"/>
              <w:keepLines/>
            </w:pPr>
            <w:r>
              <w:rPr>
                <w:b/>
                <w:color w:val="FFFFFF"/>
                <w:sz w:val="20"/>
              </w:rPr>
              <w:t>Named output or sample</w:t>
            </w:r>
          </w:p>
        </w:tc>
      </w:tr>
      <w:tr>
        <w:trPr>
          <w:cantSplit/>
        </w:trPr>
        <w:tc>
          <w:tcPr>
            <w:tcW w:type="dxa" w:w="2498"/>
            <w:vAlign w:val="center"/>
            <w:tcMar>
              <w:top w:w="85" w:type="dxa"/>
              <w:bottom w:w="85" w:type="dxa"/>
              <w:left w:w="95" w:type="dxa"/>
              <w:right w:w="95" w:type="dxa"/>
            </w:tcMar>
            <w:shd w:fill="FFFFFF"/>
          </w:tcPr>
          <w:p>
            <w:pPr>
              <w:pStyle w:val="TableText"/>
              <w:keepNext w:val="0"/>
              <w:keepLines/>
              <w:jc w:val="center"/>
            </w:pPr>
            <w:r>
              <w:rPr>
                <w:sz w:val="20"/>
              </w:rPr>
              <w:t>Moon</w:t>
            </w:r>
          </w:p>
        </w:tc>
        <w:tc>
          <w:tcPr>
            <w:tcW w:type="dxa" w:w="3298"/>
            <w:vAlign w:val="center"/>
            <w:tcMar>
              <w:top w:w="85" w:type="dxa"/>
              <w:bottom w:w="85" w:type="dxa"/>
              <w:left w:w="95" w:type="dxa"/>
              <w:right w:w="95" w:type="dxa"/>
            </w:tcMar>
            <w:shd w:fill="FFFFFF"/>
          </w:tcPr>
          <w:p>
            <w:pPr>
              <w:pStyle w:val="TableText"/>
              <w:keepNext w:val="0"/>
              <w:keepLines/>
            </w:pPr>
            <w:r>
              <w:rPr>
                <w:sz w:val="20"/>
              </w:rPr>
              <w:t>Common surface regolith; mapped impact-glass seams</w:t>
            </w:r>
          </w:p>
        </w:tc>
        <w:tc>
          <w:tcPr>
            <w:tcW w:type="dxa" w:w="4197"/>
            <w:vAlign w:val="center"/>
            <w:tcMar>
              <w:top w:w="85" w:type="dxa"/>
              <w:bottom w:w="85" w:type="dxa"/>
              <w:left w:w="95" w:type="dxa"/>
              <w:right w:w="95" w:type="dxa"/>
            </w:tcMar>
            <w:shd w:fill="FFFFFF"/>
          </w:tcPr>
          <w:p>
            <w:pPr>
              <w:pStyle w:val="TableText"/>
              <w:keepNext w:val="0"/>
              <w:keepLines/>
            </w:pPr>
            <w:r>
              <w:rPr>
                <w:sz w:val="20"/>
              </w:rPr>
              <w:t>Process regolith into Regolith Ceramic; refine glass into Lunar Glass Filament</w:t>
            </w:r>
          </w:p>
        </w:tc>
      </w:tr>
      <w:tr>
        <w:trPr>
          <w:cantSplit/>
        </w:trPr>
        <w:tc>
          <w:tcPr>
            <w:tcW w:type="dxa" w:w="2498"/>
            <w:vAlign w:val="center"/>
            <w:tcMar>
              <w:top w:w="85" w:type="dxa"/>
              <w:bottom w:w="85" w:type="dxa"/>
              <w:left w:w="95" w:type="dxa"/>
              <w:right w:w="95" w:type="dxa"/>
            </w:tcMar>
            <w:shd w:fill="F3F5F6"/>
          </w:tcPr>
          <w:p>
            <w:pPr>
              <w:pStyle w:val="TableText"/>
              <w:keepNext w:val="0"/>
              <w:keepLines/>
              <w:jc w:val="center"/>
            </w:pPr>
            <w:r>
              <w:rPr>
                <w:sz w:val="20"/>
              </w:rPr>
              <w:t>Mars</w:t>
            </w:r>
          </w:p>
        </w:tc>
        <w:tc>
          <w:tcPr>
            <w:tcW w:type="dxa" w:w="3298"/>
            <w:vAlign w:val="center"/>
            <w:tcMar>
              <w:top w:w="85" w:type="dxa"/>
              <w:bottom w:w="85" w:type="dxa"/>
              <w:left w:w="95" w:type="dxa"/>
              <w:right w:w="95" w:type="dxa"/>
            </w:tcMar>
            <w:shd w:fill="F3F5F6"/>
          </w:tcPr>
          <w:p>
            <w:pPr>
              <w:pStyle w:val="TableText"/>
              <w:keepNext w:val="0"/>
              <w:keepLines/>
            </w:pPr>
            <w:r>
              <w:rPr>
                <w:sz w:val="20"/>
              </w:rPr>
              <w:t>Familiar iron-bearing deposits and common structural ingredients; contained brine samples</w:t>
            </w:r>
          </w:p>
        </w:tc>
        <w:tc>
          <w:tcPr>
            <w:tcW w:type="dxa" w:w="4197"/>
            <w:vAlign w:val="center"/>
            <w:tcMar>
              <w:top w:w="85" w:type="dxa"/>
              <w:bottom w:w="85" w:type="dxa"/>
              <w:left w:w="95" w:type="dxa"/>
              <w:right w:w="95" w:type="dxa"/>
            </w:tcMar>
            <w:shd w:fill="F3F5F6"/>
          </w:tcPr>
          <w:p>
            <w:pPr>
              <w:pStyle w:val="TableText"/>
              <w:keepNext w:val="0"/>
              <w:keepLines/>
            </w:pPr>
            <w:r>
              <w:rPr>
                <w:sz w:val="20"/>
              </w:rPr>
              <w:t>Manufacture Ferric Lattice; concentrate Brine Catalyst</w:t>
            </w:r>
          </w:p>
        </w:tc>
      </w:tr>
      <w:tr>
        <w:trPr>
          <w:cantSplit/>
        </w:trPr>
        <w:tc>
          <w:tcPr>
            <w:tcW w:type="dxa" w:w="2498"/>
            <w:vAlign w:val="center"/>
            <w:tcMar>
              <w:top w:w="85" w:type="dxa"/>
              <w:bottom w:w="85" w:type="dxa"/>
              <w:left w:w="95" w:type="dxa"/>
              <w:right w:w="95" w:type="dxa"/>
            </w:tcMar>
            <w:shd w:fill="FFFFFF"/>
          </w:tcPr>
          <w:p>
            <w:pPr>
              <w:pStyle w:val="TableText"/>
              <w:keepNext w:val="0"/>
              <w:keepLines/>
              <w:jc w:val="center"/>
            </w:pPr>
            <w:r>
              <w:rPr>
                <w:sz w:val="20"/>
              </w:rPr>
              <w:t>Ceres</w:t>
            </w:r>
          </w:p>
        </w:tc>
        <w:tc>
          <w:tcPr>
            <w:tcW w:type="dxa" w:w="3298"/>
            <w:vAlign w:val="center"/>
            <w:tcMar>
              <w:top w:w="85" w:type="dxa"/>
              <w:bottom w:w="85" w:type="dxa"/>
              <w:left w:w="95" w:type="dxa"/>
              <w:right w:w="95" w:type="dxa"/>
            </w:tcMar>
            <w:shd w:fill="FFFFFF"/>
          </w:tcPr>
          <w:p>
            <w:pPr>
              <w:pStyle w:val="TableText"/>
              <w:keepNext w:val="0"/>
              <w:keepLines/>
            </w:pPr>
            <w:r>
              <w:rPr>
                <w:sz w:val="20"/>
              </w:rPr>
              <w:t>Surveyed volatile-bearing ice pockets; familiar metal-bearing fragments</w:t>
            </w:r>
          </w:p>
        </w:tc>
        <w:tc>
          <w:tcPr>
            <w:tcW w:type="dxa" w:w="4197"/>
            <w:vAlign w:val="center"/>
            <w:tcMar>
              <w:top w:w="85" w:type="dxa"/>
              <w:bottom w:w="85" w:type="dxa"/>
              <w:left w:w="95" w:type="dxa"/>
              <w:right w:w="95" w:type="dxa"/>
            </w:tcMar>
            <w:shd w:fill="FFFFFF"/>
          </w:tcPr>
          <w:p>
            <w:pPr>
              <w:pStyle w:val="TableText"/>
              <w:keepNext w:val="0"/>
              <w:keepLines/>
            </w:pPr>
            <w:r>
              <w:rPr>
                <w:sz w:val="20"/>
              </w:rPr>
              <w:t>Produce Dark-Ice Concentrate; manufacture Porous Nickel Matrix</w:t>
            </w:r>
          </w:p>
        </w:tc>
      </w:tr>
      <w:tr>
        <w:trPr>
          <w:cantSplit/>
        </w:trPr>
        <w:tc>
          <w:tcPr>
            <w:tcW w:type="dxa" w:w="2498"/>
            <w:vAlign w:val="center"/>
            <w:tcMar>
              <w:top w:w="85" w:type="dxa"/>
              <w:bottom w:w="85" w:type="dxa"/>
              <w:left w:w="95" w:type="dxa"/>
              <w:right w:w="95" w:type="dxa"/>
            </w:tcMar>
            <w:shd w:fill="F3F5F6"/>
          </w:tcPr>
          <w:p>
            <w:pPr>
              <w:pStyle w:val="TableText"/>
              <w:keepNext w:val="0"/>
              <w:keepLines/>
              <w:jc w:val="center"/>
            </w:pPr>
            <w:r>
              <w:rPr>
                <w:sz w:val="20"/>
              </w:rPr>
              <w:t>Europa</w:t>
            </w:r>
          </w:p>
        </w:tc>
        <w:tc>
          <w:tcPr>
            <w:tcW w:type="dxa" w:w="3298"/>
            <w:vAlign w:val="center"/>
            <w:tcMar>
              <w:top w:w="85" w:type="dxa"/>
              <w:bottom w:w="85" w:type="dxa"/>
              <w:left w:w="95" w:type="dxa"/>
              <w:right w:w="95" w:type="dxa"/>
            </w:tcMar>
            <w:shd w:fill="F3F5F6"/>
          </w:tcPr>
          <w:p>
            <w:pPr>
              <w:pStyle w:val="TableText"/>
              <w:keepNext w:val="0"/>
              <w:keepLines/>
            </w:pPr>
            <w:r>
              <w:rPr>
                <w:sz w:val="20"/>
              </w:rPr>
              <w:t>Limited renewable colony secretions or contained cultivated feedstock; mapped mineral-and-colony interfaces</w:t>
            </w:r>
          </w:p>
        </w:tc>
        <w:tc>
          <w:tcPr>
            <w:tcW w:type="dxa" w:w="4197"/>
            <w:vAlign w:val="center"/>
            <w:tcMar>
              <w:top w:w="85" w:type="dxa"/>
              <w:bottom w:w="85" w:type="dxa"/>
              <w:left w:w="95" w:type="dxa"/>
              <w:right w:w="95" w:type="dxa"/>
            </w:tcMar>
            <w:shd w:fill="F3F5F6"/>
          </w:tcPr>
          <w:p>
            <w:pPr>
              <w:pStyle w:val="TableText"/>
              <w:keepNext w:val="0"/>
              <w:keepLines/>
            </w:pPr>
            <w:r>
              <w:rPr>
                <w:sz w:val="20"/>
              </w:rPr>
              <w:t>Prepare Cryoseal Gel; collect and refine Resonant Silica</w:t>
            </w:r>
          </w:p>
        </w:tc>
      </w:tr>
      <w:tr>
        <w:trPr>
          <w:cantSplit/>
        </w:trPr>
        <w:tc>
          <w:tcPr>
            <w:tcW w:type="dxa" w:w="2498"/>
            <w:vAlign w:val="center"/>
            <w:tcMar>
              <w:top w:w="85" w:type="dxa"/>
              <w:bottom w:w="85" w:type="dxa"/>
              <w:left w:w="95" w:type="dxa"/>
              <w:right w:w="95" w:type="dxa"/>
            </w:tcMar>
            <w:shd w:fill="FFFFFF"/>
          </w:tcPr>
          <w:p>
            <w:pPr>
              <w:pStyle w:val="TableText"/>
              <w:keepNext w:val="0"/>
              <w:keepLines/>
              <w:jc w:val="center"/>
            </w:pPr>
            <w:r>
              <w:rPr>
                <w:sz w:val="20"/>
              </w:rPr>
              <w:t>Io</w:t>
            </w:r>
          </w:p>
        </w:tc>
        <w:tc>
          <w:tcPr>
            <w:tcW w:type="dxa" w:w="3298"/>
            <w:vAlign w:val="center"/>
            <w:tcMar>
              <w:top w:w="85" w:type="dxa"/>
              <w:bottom w:w="85" w:type="dxa"/>
              <w:left w:w="95" w:type="dxa"/>
              <w:right w:w="95" w:type="dxa"/>
            </w:tcMar>
            <w:shd w:fill="FFFFFF"/>
          </w:tcPr>
          <w:p>
            <w:pPr>
              <w:pStyle w:val="TableText"/>
              <w:keepNext w:val="0"/>
              <w:keepLines/>
            </w:pPr>
            <w:r>
              <w:rPr>
                <w:sz w:val="20"/>
              </w:rPr>
              <w:t>Identified crystalline formations; gathered sulfur-bearing feedstock plus familiar binders</w:t>
            </w:r>
          </w:p>
        </w:tc>
        <w:tc>
          <w:tcPr>
            <w:tcW w:type="dxa" w:w="4197"/>
            <w:vAlign w:val="center"/>
            <w:tcMar>
              <w:top w:w="85" w:type="dxa"/>
              <w:bottom w:w="85" w:type="dxa"/>
              <w:left w:w="95" w:type="dxa"/>
              <w:right w:w="95" w:type="dxa"/>
            </w:tcMar>
            <w:shd w:fill="FFFFFF"/>
          </w:tcPr>
          <w:p>
            <w:pPr>
              <w:pStyle w:val="TableText"/>
              <w:keepNext w:val="0"/>
              <w:keepLines/>
            </w:pPr>
            <w:r>
              <w:rPr>
                <w:sz w:val="20"/>
              </w:rPr>
              <w:t>Collect Thermal Spine Crystal and prepare exchanger inserts; process Sulfur Ceramic</w:t>
            </w:r>
          </w:p>
        </w:tc>
      </w:tr>
      <w:tr>
        <w:trPr>
          <w:cantSplit/>
        </w:trPr>
        <w:tc>
          <w:tcPr>
            <w:tcW w:type="dxa" w:w="2498"/>
            <w:vAlign w:val="center"/>
            <w:tcMar>
              <w:top w:w="85" w:type="dxa"/>
              <w:bottom w:w="85" w:type="dxa"/>
              <w:left w:w="95" w:type="dxa"/>
              <w:right w:w="95" w:type="dxa"/>
            </w:tcMar>
            <w:shd w:fill="F3F5F6"/>
          </w:tcPr>
          <w:p>
            <w:pPr>
              <w:pStyle w:val="TableText"/>
              <w:keepNext w:val="0"/>
              <w:keepLines/>
              <w:jc w:val="center"/>
            </w:pPr>
            <w:r>
              <w:rPr>
                <w:sz w:val="20"/>
              </w:rPr>
              <w:t>Titan</w:t>
            </w:r>
          </w:p>
        </w:tc>
        <w:tc>
          <w:tcPr>
            <w:tcW w:type="dxa" w:w="3298"/>
            <w:vAlign w:val="center"/>
            <w:tcMar>
              <w:top w:w="85" w:type="dxa"/>
              <w:bottom w:w="85" w:type="dxa"/>
              <w:left w:w="95" w:type="dxa"/>
              <w:right w:w="95" w:type="dxa"/>
            </w:tcMar>
            <w:shd w:fill="F3F5F6"/>
          </w:tcPr>
          <w:p>
            <w:pPr>
              <w:pStyle w:val="TableText"/>
              <w:keepNext w:val="0"/>
              <w:keepLines/>
            </w:pPr>
            <w:r>
              <w:rPr>
                <w:sz w:val="20"/>
              </w:rPr>
              <w:t>Surveyed chemical deposits and selected renewable samples</w:t>
            </w:r>
          </w:p>
        </w:tc>
        <w:tc>
          <w:tcPr>
            <w:tcW w:type="dxa" w:w="4197"/>
            <w:vAlign w:val="center"/>
            <w:tcMar>
              <w:top w:w="85" w:type="dxa"/>
              <w:bottom w:w="85" w:type="dxa"/>
              <w:left w:w="95" w:type="dxa"/>
              <w:right w:w="95" w:type="dxa"/>
            </w:tcMar>
            <w:shd w:fill="F3F5F6"/>
          </w:tcPr>
          <w:p>
            <w:pPr>
              <w:pStyle w:val="TableText"/>
              <w:keepNext w:val="0"/>
              <w:keepLines/>
            </w:pPr>
            <w:r>
              <w:rPr>
                <w:sz w:val="20"/>
              </w:rPr>
              <w:t>Process Amber Polymer; fabricate Liftweave Membrane</w:t>
            </w:r>
          </w:p>
        </w:tc>
      </w:tr>
      <w:tr>
        <w:trPr>
          <w:cantSplit/>
        </w:trPr>
        <w:tc>
          <w:tcPr>
            <w:tcW w:type="dxa" w:w="2498"/>
            <w:vAlign w:val="center"/>
            <w:tcMar>
              <w:top w:w="85" w:type="dxa"/>
              <w:bottom w:w="85" w:type="dxa"/>
              <w:left w:w="95" w:type="dxa"/>
              <w:right w:w="95" w:type="dxa"/>
            </w:tcMar>
            <w:shd w:fill="FFFFFF"/>
          </w:tcPr>
          <w:p>
            <w:pPr>
              <w:pStyle w:val="TableText"/>
              <w:keepNext w:val="0"/>
              <w:keepLines/>
              <w:jc w:val="center"/>
            </w:pPr>
            <w:r>
              <w:rPr>
                <w:sz w:val="20"/>
              </w:rPr>
              <w:t>Pluto</w:t>
            </w:r>
          </w:p>
        </w:tc>
        <w:tc>
          <w:tcPr>
            <w:tcW w:type="dxa" w:w="3298"/>
            <w:vAlign w:val="center"/>
            <w:tcMar>
              <w:top w:w="85" w:type="dxa"/>
              <w:bottom w:w="85" w:type="dxa"/>
              <w:left w:w="95" w:type="dxa"/>
              <w:right w:w="95" w:type="dxa"/>
            </w:tcMar>
            <w:shd w:fill="FFFFFF"/>
          </w:tcPr>
          <w:p>
            <w:pPr>
              <w:pStyle w:val="TableText"/>
              <w:keepNext w:val="0"/>
              <w:keepLines/>
            </w:pPr>
            <w:r>
              <w:rPr>
                <w:sz w:val="20"/>
              </w:rPr>
              <w:t>Identified dark reflective seams; preserved layered frost samples</w:t>
            </w:r>
          </w:p>
        </w:tc>
        <w:tc>
          <w:tcPr>
            <w:tcW w:type="dxa" w:w="4197"/>
            <w:vAlign w:val="center"/>
            <w:tcMar>
              <w:top w:w="85" w:type="dxa"/>
              <w:bottom w:w="85" w:type="dxa"/>
              <w:left w:w="95" w:type="dxa"/>
              <w:right w:w="95" w:type="dxa"/>
            </w:tcMar>
            <w:shd w:fill="FFFFFF"/>
          </w:tcPr>
          <w:p>
            <w:pPr>
              <w:pStyle w:val="TableText"/>
              <w:keepNext w:val="0"/>
              <w:keepLines/>
            </w:pPr>
            <w:r>
              <w:rPr>
                <w:sz w:val="20"/>
              </w:rPr>
              <w:t>Collect and refine Nightglass; retain Memory Frost as a research sample</w:t>
            </w:r>
          </w:p>
        </w:tc>
      </w:tr>
      <w:tr>
        <w:trPr>
          <w:cantSplit/>
        </w:trPr>
        <w:tc>
          <w:tcPr>
            <w:tcW w:type="dxa" w:w="2498"/>
            <w:vAlign w:val="center"/>
            <w:tcMar>
              <w:top w:w="85" w:type="dxa"/>
              <w:bottom w:w="85" w:type="dxa"/>
              <w:left w:w="95" w:type="dxa"/>
              <w:right w:w="95" w:type="dxa"/>
            </w:tcMar>
            <w:shd w:fill="F3F5F6"/>
          </w:tcPr>
          <w:p>
            <w:pPr>
              <w:pStyle w:val="TableText"/>
              <w:keepNext w:val="0"/>
              <w:keepLines/>
              <w:jc w:val="center"/>
            </w:pPr>
            <w:r>
              <w:rPr>
                <w:sz w:val="20"/>
              </w:rPr>
              <w:t>Cairn</w:t>
            </w:r>
          </w:p>
        </w:tc>
        <w:tc>
          <w:tcPr>
            <w:tcW w:type="dxa" w:w="3298"/>
            <w:vAlign w:val="center"/>
            <w:tcMar>
              <w:top w:w="85" w:type="dxa"/>
              <w:bottom w:w="85" w:type="dxa"/>
              <w:left w:w="95" w:type="dxa"/>
              <w:right w:w="95" w:type="dxa"/>
            </w:tcMar>
            <w:shd w:fill="F3F5F6"/>
          </w:tcPr>
          <w:p>
            <w:pPr>
              <w:pStyle w:val="TableText"/>
              <w:keepNext w:val="0"/>
              <w:keepLines/>
            </w:pPr>
            <w:r>
              <w:rPr>
                <w:sz w:val="20"/>
              </w:rPr>
              <w:t>Designated recoverable fragments outside protected puzzle cores; resonant components from repeatable secondary sites</w:t>
            </w:r>
          </w:p>
        </w:tc>
        <w:tc>
          <w:tcPr>
            <w:tcW w:type="dxa" w:w="4197"/>
            <w:vAlign w:val="center"/>
            <w:tcMar>
              <w:top w:w="85" w:type="dxa"/>
              <w:bottom w:w="85" w:type="dxa"/>
              <w:left w:w="95" w:type="dxa"/>
              <w:right w:w="95" w:type="dxa"/>
            </w:tcMar>
            <w:shd w:fill="F3F5F6"/>
          </w:tcPr>
          <w:p>
            <w:pPr>
              <w:pStyle w:val="TableText"/>
              <w:keepNext w:val="0"/>
              <w:keepLines/>
            </w:pPr>
            <w:r>
              <w:rPr>
                <w:sz w:val="20"/>
              </w:rPr>
              <w:t>Recover Palimpsest Plate; prepare Phase Tine components without consuming the unique mission structure</w:t>
            </w:r>
          </w:p>
        </w:tc>
      </w:tr>
      <w:tr>
        <w:trPr>
          <w:cantSplit/>
        </w:trPr>
        <w:tc>
          <w:tcPr>
            <w:tcW w:type="dxa" w:w="2498"/>
            <w:vAlign w:val="center"/>
            <w:tcMar>
              <w:top w:w="85" w:type="dxa"/>
              <w:bottom w:w="85" w:type="dxa"/>
              <w:left w:w="95" w:type="dxa"/>
              <w:right w:w="95" w:type="dxa"/>
            </w:tcMar>
            <w:shd w:fill="FFFFFF"/>
          </w:tcPr>
          <w:p>
            <w:pPr>
              <w:pStyle w:val="TableText"/>
              <w:keepNext w:val="0"/>
              <w:keepLines/>
              <w:jc w:val="center"/>
            </w:pPr>
            <w:r>
              <w:rPr>
                <w:sz w:val="20"/>
              </w:rPr>
              <w:t>Morrow</w:t>
            </w:r>
          </w:p>
        </w:tc>
        <w:tc>
          <w:tcPr>
            <w:tcW w:type="dxa" w:w="3298"/>
            <w:vAlign w:val="center"/>
            <w:tcMar>
              <w:top w:w="85" w:type="dxa"/>
              <w:bottom w:w="85" w:type="dxa"/>
              <w:left w:w="95" w:type="dxa"/>
              <w:right w:w="95" w:type="dxa"/>
            </w:tcMar>
            <w:shd w:fill="FFFFFF"/>
          </w:tcPr>
          <w:p>
            <w:pPr>
              <w:pStyle w:val="TableText"/>
              <w:keepNext w:val="0"/>
              <w:keepLines/>
            </w:pPr>
            <w:r>
              <w:rPr>
                <w:sz w:val="20"/>
              </w:rPr>
              <w:t>Controlled cultivation of studied local growths; renewable fibers at managed growth edges</w:t>
            </w:r>
          </w:p>
        </w:tc>
        <w:tc>
          <w:tcPr>
            <w:tcW w:type="dxa" w:w="4197"/>
            <w:vAlign w:val="center"/>
            <w:tcMar>
              <w:top w:w="85" w:type="dxa"/>
              <w:bottom w:w="85" w:type="dxa"/>
              <w:left w:w="95" w:type="dxa"/>
              <w:right w:w="95" w:type="dxa"/>
            </w:tcMar>
            <w:shd w:fill="FFFFFF"/>
          </w:tcPr>
          <w:p>
            <w:pPr>
              <w:pStyle w:val="TableText"/>
              <w:keepNext w:val="0"/>
              <w:keepLines/>
            </w:pPr>
            <w:r>
              <w:rPr>
                <w:sz w:val="20"/>
              </w:rPr>
              <w:t>Mature and process Living Ceramic into inert panels; refine Tidelace Fiber</w:t>
            </w:r>
          </w:p>
        </w:tc>
      </w:tr>
    </w:tbl>
    <w:p>
      <w:pPr>
        <w:spacing w:after="0" w:before="0" w:line="60" w:lineRule="exact"/>
      </w:pPr>
      <w:r>
        <w:rPr>
          <w:sz w:val="6"/>
        </w:rPr>
      </w:r>
    </w:p>
    <w:p>
      <w:pPr/>
      <w:r>
        <w:t>The earlier recipe and source rules still apply: essential first-arrival equipment uses previously available ingredients, alternative construction recipes keep optional worlds optional, and a renewable or repeatable source supports routine use after the first discovery.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22"/>
        <w:gridCol w:w="2621"/>
        <w:gridCol w:w="3226"/>
        <w:gridCol w:w="3226"/>
      </w:tblGrid>
      <w:tr>
        <w:trPr>
          <w:cantSplit/>
          <w:tblHeader w:val="true"/>
        </w:trPr>
        <w:tc>
          <w:tcPr>
            <w:tcW w:type="dxa" w:w="922"/>
            <w:vAlign w:val="center"/>
            <w:tcMar>
              <w:top w:w="85" w:type="dxa"/>
              <w:bottom w:w="85" w:type="dxa"/>
              <w:left w:w="95" w:type="dxa"/>
              <w:right w:w="95" w:type="dxa"/>
            </w:tcMar>
            <w:shd w:fill="233544"/>
          </w:tcPr>
          <w:p>
            <w:pPr>
              <w:pStyle w:val="TableText"/>
              <w:keepNext w:val="0"/>
              <w:keepLines/>
              <w:jc w:val="center"/>
            </w:pPr>
            <w:r>
              <w:rPr>
                <w:b/>
                <w:color w:val="FFFFFF"/>
                <w:sz w:val="20"/>
              </w:rPr>
              <w:t>Ref.</w:t>
            </w:r>
          </w:p>
        </w:tc>
        <w:tc>
          <w:tcPr>
            <w:tcW w:type="dxa" w:w="2621"/>
            <w:vAlign w:val="center"/>
            <w:tcMar>
              <w:top w:w="85" w:type="dxa"/>
              <w:bottom w:w="85" w:type="dxa"/>
              <w:left w:w="95" w:type="dxa"/>
              <w:right w:w="95" w:type="dxa"/>
            </w:tcMar>
            <w:shd w:fill="233544"/>
          </w:tcPr>
          <w:p>
            <w:pPr>
              <w:pStyle w:val="TableText"/>
              <w:keepNext w:val="0"/>
              <w:keepLines/>
            </w:pPr>
            <w:r>
              <w:rPr>
                <w:b/>
                <w:color w:val="FFFFFF"/>
                <w:sz w:val="20"/>
              </w:rPr>
              <w:t>Name</w:t>
            </w:r>
          </w:p>
        </w:tc>
        <w:tc>
          <w:tcPr>
            <w:tcW w:type="dxa" w:w="3226"/>
            <w:vAlign w:val="center"/>
            <w:tcMar>
              <w:top w:w="85" w:type="dxa"/>
              <w:bottom w:w="85" w:type="dxa"/>
              <w:left w:w="95" w:type="dxa"/>
              <w:right w:w="95" w:type="dxa"/>
            </w:tcMar>
            <w:shd w:fill="233544"/>
          </w:tcPr>
          <w:p>
            <w:pPr>
              <w:pStyle w:val="TableText"/>
              <w:keepNext w:val="0"/>
              <w:keepLines/>
            </w:pPr>
            <w:r>
              <w:rPr>
                <w:b/>
                <w:color w:val="FFFFFF"/>
                <w:sz w:val="20"/>
              </w:rPr>
              <w:t>Visual commission should include</w:t>
            </w:r>
          </w:p>
        </w:tc>
        <w:tc>
          <w:tcPr>
            <w:tcW w:type="dxa" w:w="3226"/>
            <w:vAlign w:val="center"/>
            <w:tcMar>
              <w:top w:w="85" w:type="dxa"/>
              <w:bottom w:w="85" w:type="dxa"/>
              <w:left w:w="95" w:type="dxa"/>
              <w:right w:w="95" w:type="dxa"/>
            </w:tcMar>
            <w:shd w:fill="233544"/>
          </w:tcPr>
          <w:p>
            <w:pPr>
              <w:pStyle w:val="TableText"/>
              <w:keepNext w:val="0"/>
              <w:keepLines/>
            </w:pPr>
            <w:r>
              <w:rPr>
                <w:b/>
                <w:color w:val="FFFFFF"/>
                <w:sz w:val="20"/>
              </w:rPr>
              <w:t>Gameplay purpose</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PM01</w:t>
            </w:r>
          </w:p>
        </w:tc>
        <w:tc>
          <w:tcPr>
            <w:tcW w:type="dxa" w:w="2621"/>
            <w:vAlign w:val="center"/>
            <w:tcMar>
              <w:top w:w="85" w:type="dxa"/>
              <w:bottom w:w="85" w:type="dxa"/>
              <w:left w:w="95" w:type="dxa"/>
              <w:right w:w="95" w:type="dxa"/>
            </w:tcMar>
            <w:shd w:fill="FFFFFF"/>
          </w:tcPr>
          <w:p>
            <w:pPr>
              <w:pStyle w:val="TableText"/>
              <w:keepNext w:val="0"/>
              <w:keepLines/>
            </w:pPr>
            <w:r>
              <w:rPr>
                <w:sz w:val="20"/>
              </w:rPr>
              <w:t>Regolith Ceramic</w:t>
            </w:r>
          </w:p>
        </w:tc>
        <w:tc>
          <w:tcPr>
            <w:tcW w:type="dxa" w:w="3226"/>
            <w:vAlign w:val="center"/>
            <w:tcMar>
              <w:top w:w="85" w:type="dxa"/>
              <w:bottom w:w="85" w:type="dxa"/>
              <w:left w:w="95" w:type="dxa"/>
              <w:right w:w="95" w:type="dxa"/>
            </w:tcMar>
            <w:shd w:fill="FFFFFF"/>
          </w:tcPr>
          <w:p>
            <w:pPr>
              <w:pStyle w:val="TableText"/>
              <w:keepNext w:val="0"/>
              <w:keepLines/>
            </w:pPr>
            <w:r>
              <w:rPr>
                <w:sz w:val="20"/>
              </w:rPr>
              <w:t>Feedstock, finished panel, habitat application</w:t>
            </w:r>
          </w:p>
        </w:tc>
        <w:tc>
          <w:tcPr>
            <w:tcW w:type="dxa" w:w="3226"/>
            <w:vAlign w:val="center"/>
            <w:tcMar>
              <w:top w:w="85" w:type="dxa"/>
              <w:bottom w:w="85" w:type="dxa"/>
              <w:left w:w="95" w:type="dxa"/>
              <w:right w:w="95" w:type="dxa"/>
            </w:tcMar>
            <w:shd w:fill="FFFFFF"/>
          </w:tcPr>
          <w:p>
            <w:pPr>
              <w:pStyle w:val="TableText"/>
              <w:keepNext w:val="0"/>
              <w:keepLines/>
            </w:pPr>
            <w:r>
              <w:rPr>
                <w:sz w:val="20"/>
              </w:rPr>
              <w:t>Vacuum habitat panels and thermal management</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PM02</w:t>
            </w:r>
          </w:p>
        </w:tc>
        <w:tc>
          <w:tcPr>
            <w:tcW w:type="dxa" w:w="2621"/>
            <w:vAlign w:val="center"/>
            <w:tcMar>
              <w:top w:w="85" w:type="dxa"/>
              <w:bottom w:w="85" w:type="dxa"/>
              <w:left w:w="95" w:type="dxa"/>
              <w:right w:w="95" w:type="dxa"/>
            </w:tcMar>
            <w:shd w:fill="F3F5F6"/>
          </w:tcPr>
          <w:p>
            <w:pPr>
              <w:pStyle w:val="TableText"/>
              <w:keepNext w:val="0"/>
              <w:keepLines/>
            </w:pPr>
            <w:r>
              <w:rPr>
                <w:sz w:val="20"/>
              </w:rPr>
              <w:t>Lunar Glass Filament</w:t>
            </w:r>
          </w:p>
        </w:tc>
        <w:tc>
          <w:tcPr>
            <w:tcW w:type="dxa" w:w="3226"/>
            <w:vAlign w:val="center"/>
            <w:tcMar>
              <w:top w:w="85" w:type="dxa"/>
              <w:bottom w:w="85" w:type="dxa"/>
              <w:left w:w="95" w:type="dxa"/>
              <w:right w:w="95" w:type="dxa"/>
            </w:tcMar>
            <w:shd w:fill="F3F5F6"/>
          </w:tcPr>
          <w:p>
            <w:pPr>
              <w:pStyle w:val="TableText"/>
              <w:keepNext w:val="0"/>
              <w:keepLines/>
            </w:pPr>
            <w:r>
              <w:rPr>
                <w:sz w:val="20"/>
              </w:rPr>
              <w:t>Raw glass seam, fiber spool, illuminated instrument</w:t>
            </w:r>
          </w:p>
        </w:tc>
        <w:tc>
          <w:tcPr>
            <w:tcW w:type="dxa" w:w="3226"/>
            <w:vAlign w:val="center"/>
            <w:tcMar>
              <w:top w:w="85" w:type="dxa"/>
              <w:bottom w:w="85" w:type="dxa"/>
              <w:left w:w="95" w:type="dxa"/>
              <w:right w:w="95" w:type="dxa"/>
            </w:tcMar>
            <w:shd w:fill="F3F5F6"/>
          </w:tcPr>
          <w:p>
            <w:pPr>
              <w:pStyle w:val="TableText"/>
              <w:keepNext w:val="0"/>
              <w:keepLines/>
            </w:pPr>
            <w:r>
              <w:rPr>
                <w:sz w:val="20"/>
              </w:rPr>
              <w:t>Sensors and compact light guides</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PM03</w:t>
            </w:r>
          </w:p>
        </w:tc>
        <w:tc>
          <w:tcPr>
            <w:tcW w:type="dxa" w:w="2621"/>
            <w:vAlign w:val="center"/>
            <w:tcMar>
              <w:top w:w="85" w:type="dxa"/>
              <w:bottom w:w="85" w:type="dxa"/>
              <w:left w:w="95" w:type="dxa"/>
              <w:right w:w="95" w:type="dxa"/>
            </w:tcMar>
            <w:shd w:fill="FFFFFF"/>
          </w:tcPr>
          <w:p>
            <w:pPr>
              <w:pStyle w:val="TableText"/>
              <w:keepNext w:val="0"/>
              <w:keepLines/>
            </w:pPr>
            <w:r>
              <w:rPr>
                <w:sz w:val="20"/>
              </w:rPr>
              <w:t>Ferric Lattice</w:t>
            </w:r>
          </w:p>
        </w:tc>
        <w:tc>
          <w:tcPr>
            <w:tcW w:type="dxa" w:w="3226"/>
            <w:vAlign w:val="center"/>
            <w:tcMar>
              <w:top w:w="85" w:type="dxa"/>
              <w:bottom w:w="85" w:type="dxa"/>
              <w:left w:w="95" w:type="dxa"/>
              <w:right w:w="95" w:type="dxa"/>
            </w:tcMar>
            <w:shd w:fill="FFFFFF"/>
          </w:tcPr>
          <w:p>
            <w:pPr>
              <w:pStyle w:val="TableText"/>
              <w:keepNext w:val="0"/>
              <w:keepLines/>
            </w:pPr>
            <w:r>
              <w:rPr>
                <w:sz w:val="20"/>
              </w:rPr>
              <w:t>Composite sample, frame member, rover application</w:t>
            </w:r>
          </w:p>
        </w:tc>
        <w:tc>
          <w:tcPr>
            <w:tcW w:type="dxa" w:w="3226"/>
            <w:vAlign w:val="center"/>
            <w:tcMar>
              <w:top w:w="85" w:type="dxa"/>
              <w:bottom w:w="85" w:type="dxa"/>
              <w:left w:w="95" w:type="dxa"/>
              <w:right w:w="95" w:type="dxa"/>
            </w:tcMar>
            <w:shd w:fill="FFFFFF"/>
          </w:tcPr>
          <w:p>
            <w:pPr>
              <w:pStyle w:val="TableText"/>
              <w:keepNext w:val="0"/>
              <w:keepLines/>
            </w:pPr>
            <w:r>
              <w:rPr>
                <w:sz w:val="20"/>
              </w:rPr>
              <w:t>Rugged repairable frames</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PM04</w:t>
            </w:r>
          </w:p>
        </w:tc>
        <w:tc>
          <w:tcPr>
            <w:tcW w:type="dxa" w:w="2621"/>
            <w:vAlign w:val="center"/>
            <w:tcMar>
              <w:top w:w="85" w:type="dxa"/>
              <w:bottom w:w="85" w:type="dxa"/>
              <w:left w:w="95" w:type="dxa"/>
              <w:right w:w="95" w:type="dxa"/>
            </w:tcMar>
            <w:shd w:fill="F3F5F6"/>
          </w:tcPr>
          <w:p>
            <w:pPr>
              <w:pStyle w:val="TableText"/>
              <w:keepNext w:val="0"/>
              <w:keepLines/>
            </w:pPr>
            <w:r>
              <w:rPr>
                <w:sz w:val="20"/>
              </w:rPr>
              <w:t>Brine Catalyst</w:t>
            </w:r>
          </w:p>
        </w:tc>
        <w:tc>
          <w:tcPr>
            <w:tcW w:type="dxa" w:w="3226"/>
            <w:vAlign w:val="center"/>
            <w:tcMar>
              <w:top w:w="85" w:type="dxa"/>
              <w:bottom w:w="85" w:type="dxa"/>
              <w:left w:w="95" w:type="dxa"/>
              <w:right w:w="95" w:type="dxa"/>
            </w:tcMar>
            <w:shd w:fill="F3F5F6"/>
          </w:tcPr>
          <w:p>
            <w:pPr>
              <w:pStyle w:val="TableText"/>
              <w:keepNext w:val="0"/>
              <w:keepLines/>
            </w:pPr>
            <w:r>
              <w:rPr>
                <w:sz w:val="20"/>
              </w:rPr>
              <w:t>Deposit context, sealed sample, processing cartridge</w:t>
            </w:r>
          </w:p>
        </w:tc>
        <w:tc>
          <w:tcPr>
            <w:tcW w:type="dxa" w:w="3226"/>
            <w:vAlign w:val="center"/>
            <w:tcMar>
              <w:top w:w="85" w:type="dxa"/>
              <w:bottom w:w="85" w:type="dxa"/>
              <w:left w:w="95" w:type="dxa"/>
              <w:right w:w="95" w:type="dxa"/>
            </w:tcMar>
            <w:shd w:fill="F3F5F6"/>
          </w:tcPr>
          <w:p>
            <w:pPr>
              <w:pStyle w:val="TableText"/>
              <w:keepNext w:val="0"/>
              <w:keepLines/>
            </w:pPr>
            <w:r>
              <w:rPr>
                <w:sz w:val="20"/>
              </w:rPr>
              <w:t>Compact processing and closed-loop equipment</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PM05</w:t>
            </w:r>
          </w:p>
        </w:tc>
        <w:tc>
          <w:tcPr>
            <w:tcW w:type="dxa" w:w="2621"/>
            <w:vAlign w:val="center"/>
            <w:tcMar>
              <w:top w:w="85" w:type="dxa"/>
              <w:bottom w:w="85" w:type="dxa"/>
              <w:left w:w="95" w:type="dxa"/>
              <w:right w:w="95" w:type="dxa"/>
            </w:tcMar>
            <w:shd w:fill="FFFFFF"/>
          </w:tcPr>
          <w:p>
            <w:pPr>
              <w:pStyle w:val="TableText"/>
              <w:keepNext w:val="0"/>
              <w:keepLines/>
            </w:pPr>
            <w:r>
              <w:rPr>
                <w:sz w:val="20"/>
              </w:rPr>
              <w:t>Dark-Ice Concentrate</w:t>
            </w:r>
          </w:p>
        </w:tc>
        <w:tc>
          <w:tcPr>
            <w:tcW w:type="dxa" w:w="3226"/>
            <w:vAlign w:val="center"/>
            <w:tcMar>
              <w:top w:w="85" w:type="dxa"/>
              <w:bottom w:w="85" w:type="dxa"/>
              <w:left w:w="95" w:type="dxa"/>
              <w:right w:w="95" w:type="dxa"/>
            </w:tcMar>
            <w:shd w:fill="FFFFFF"/>
          </w:tcPr>
          <w:p>
            <w:pPr>
              <w:pStyle w:val="TableText"/>
              <w:keepNext w:val="0"/>
              <w:keepLines/>
            </w:pPr>
            <w:r>
              <w:rPr>
                <w:sz w:val="20"/>
              </w:rPr>
              <w:t>Ice pocket, extraction container, storage module</w:t>
            </w:r>
          </w:p>
        </w:tc>
        <w:tc>
          <w:tcPr>
            <w:tcW w:type="dxa" w:w="3226"/>
            <w:vAlign w:val="center"/>
            <w:tcMar>
              <w:top w:w="85" w:type="dxa"/>
              <w:bottom w:w="85" w:type="dxa"/>
              <w:left w:w="95" w:type="dxa"/>
              <w:right w:w="95" w:type="dxa"/>
            </w:tcMar>
            <w:shd w:fill="FFFFFF"/>
          </w:tcPr>
          <w:p>
            <w:pPr>
              <w:pStyle w:val="TableText"/>
              <w:keepNext w:val="0"/>
              <w:keepLines/>
            </w:pPr>
            <w:r>
              <w:rPr>
                <w:sz w:val="20"/>
              </w:rPr>
              <w:t>Alternative industrial feedstock and storage efficiency</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PM06</w:t>
            </w:r>
          </w:p>
        </w:tc>
        <w:tc>
          <w:tcPr>
            <w:tcW w:type="dxa" w:w="2621"/>
            <w:vAlign w:val="center"/>
            <w:tcMar>
              <w:top w:w="85" w:type="dxa"/>
              <w:bottom w:w="85" w:type="dxa"/>
              <w:left w:w="95" w:type="dxa"/>
              <w:right w:w="95" w:type="dxa"/>
            </w:tcMar>
            <w:shd w:fill="F3F5F6"/>
          </w:tcPr>
          <w:p>
            <w:pPr>
              <w:pStyle w:val="TableText"/>
              <w:keepNext w:val="0"/>
              <w:keepLines/>
            </w:pPr>
            <w:r>
              <w:rPr>
                <w:sz w:val="20"/>
              </w:rPr>
              <w:t>Porous Nickel Matrix</w:t>
            </w:r>
          </w:p>
        </w:tc>
        <w:tc>
          <w:tcPr>
            <w:tcW w:type="dxa" w:w="3226"/>
            <w:vAlign w:val="center"/>
            <w:tcMar>
              <w:top w:w="85" w:type="dxa"/>
              <w:bottom w:w="85" w:type="dxa"/>
              <w:left w:w="95" w:type="dxa"/>
              <w:right w:w="95" w:type="dxa"/>
            </w:tcMar>
            <w:shd w:fill="F3F5F6"/>
          </w:tcPr>
          <w:p>
            <w:pPr>
              <w:pStyle w:val="TableText"/>
              <w:keepNext w:val="0"/>
              <w:keepLines/>
            </w:pPr>
            <w:r>
              <w:rPr>
                <w:sz w:val="20"/>
              </w:rPr>
              <w:t>Cross-section, lightweight frame, cargo rack</w:t>
            </w:r>
          </w:p>
        </w:tc>
        <w:tc>
          <w:tcPr>
            <w:tcW w:type="dxa" w:w="3226"/>
            <w:vAlign w:val="center"/>
            <w:tcMar>
              <w:top w:w="85" w:type="dxa"/>
              <w:bottom w:w="85" w:type="dxa"/>
              <w:left w:w="95" w:type="dxa"/>
              <w:right w:w="95" w:type="dxa"/>
            </w:tcMar>
            <w:shd w:fill="F3F5F6"/>
          </w:tcPr>
          <w:p>
            <w:pPr>
              <w:pStyle w:val="TableText"/>
              <w:keepNext w:val="0"/>
              <w:keepLines/>
            </w:pPr>
            <w:r>
              <w:rPr>
                <w:sz w:val="20"/>
              </w:rPr>
              <w:t>Cargo structures and isolated instrument mounts</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PM07</w:t>
            </w:r>
          </w:p>
        </w:tc>
        <w:tc>
          <w:tcPr>
            <w:tcW w:type="dxa" w:w="2621"/>
            <w:vAlign w:val="center"/>
            <w:tcMar>
              <w:top w:w="85" w:type="dxa"/>
              <w:bottom w:w="85" w:type="dxa"/>
              <w:left w:w="95" w:type="dxa"/>
              <w:right w:w="95" w:type="dxa"/>
            </w:tcMar>
            <w:shd w:fill="FFFFFF"/>
          </w:tcPr>
          <w:p>
            <w:pPr>
              <w:pStyle w:val="TableText"/>
              <w:keepNext w:val="0"/>
              <w:keepLines/>
            </w:pPr>
            <w:r>
              <w:rPr>
                <w:sz w:val="20"/>
              </w:rPr>
              <w:t>Cryoseal Gel</w:t>
            </w:r>
          </w:p>
        </w:tc>
        <w:tc>
          <w:tcPr>
            <w:tcW w:type="dxa" w:w="3226"/>
            <w:vAlign w:val="center"/>
            <w:tcMar>
              <w:top w:w="85" w:type="dxa"/>
              <w:bottom w:w="85" w:type="dxa"/>
              <w:left w:w="95" w:type="dxa"/>
              <w:right w:w="95" w:type="dxa"/>
            </w:tcMar>
            <w:shd w:fill="FFFFFF"/>
          </w:tcPr>
          <w:p>
            <w:pPr>
              <w:pStyle w:val="TableText"/>
              <w:keepNext w:val="0"/>
              <w:keepLines/>
            </w:pPr>
            <w:r>
              <w:rPr>
                <w:sz w:val="20"/>
              </w:rPr>
              <w:t>Safe sample, gel cartridge, flexible seal</w:t>
            </w:r>
          </w:p>
        </w:tc>
        <w:tc>
          <w:tcPr>
            <w:tcW w:type="dxa" w:w="3226"/>
            <w:vAlign w:val="center"/>
            <w:tcMar>
              <w:top w:w="85" w:type="dxa"/>
              <w:bottom w:w="85" w:type="dxa"/>
              <w:left w:w="95" w:type="dxa"/>
              <w:right w:w="95" w:type="dxa"/>
            </w:tcMar>
            <w:shd w:fill="FFFFFF"/>
          </w:tcPr>
          <w:p>
            <w:pPr>
              <w:pStyle w:val="TableText"/>
              <w:keepNext w:val="0"/>
              <w:keepLines/>
            </w:pPr>
            <w:r>
              <w:rPr>
                <w:sz w:val="20"/>
              </w:rPr>
              <w:t>Cold-resistant sealing and repairs</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PM08</w:t>
            </w:r>
          </w:p>
        </w:tc>
        <w:tc>
          <w:tcPr>
            <w:tcW w:type="dxa" w:w="2621"/>
            <w:vAlign w:val="center"/>
            <w:tcMar>
              <w:top w:w="85" w:type="dxa"/>
              <w:bottom w:w="85" w:type="dxa"/>
              <w:left w:w="95" w:type="dxa"/>
              <w:right w:w="95" w:type="dxa"/>
            </w:tcMar>
            <w:shd w:fill="F3F5F6"/>
          </w:tcPr>
          <w:p>
            <w:pPr>
              <w:pStyle w:val="TableText"/>
              <w:keepNext w:val="0"/>
              <w:keepLines/>
            </w:pPr>
            <w:r>
              <w:rPr>
                <w:sz w:val="20"/>
              </w:rPr>
              <w:t>Resonant Silica</w:t>
            </w:r>
          </w:p>
        </w:tc>
        <w:tc>
          <w:tcPr>
            <w:tcW w:type="dxa" w:w="3226"/>
            <w:vAlign w:val="center"/>
            <w:tcMar>
              <w:top w:w="85" w:type="dxa"/>
              <w:bottom w:w="85" w:type="dxa"/>
              <w:left w:w="95" w:type="dxa"/>
              <w:right w:w="95" w:type="dxa"/>
            </w:tcMar>
            <w:shd w:fill="F3F5F6"/>
          </w:tcPr>
          <w:p>
            <w:pPr>
              <w:pStyle w:val="TableText"/>
              <w:keepNext w:val="0"/>
              <w:keepLines/>
            </w:pPr>
            <w:r>
              <w:rPr>
                <w:sz w:val="20"/>
              </w:rPr>
              <w:t>Porous ribbed laminae at a garden interface, refined element, sensor assembly</w:t>
            </w:r>
          </w:p>
        </w:tc>
        <w:tc>
          <w:tcPr>
            <w:tcW w:type="dxa" w:w="3226"/>
            <w:vAlign w:val="center"/>
            <w:tcMar>
              <w:top w:w="85" w:type="dxa"/>
              <w:bottom w:w="85" w:type="dxa"/>
              <w:left w:w="95" w:type="dxa"/>
              <w:right w:w="95" w:type="dxa"/>
            </w:tcMar>
            <w:shd w:fill="F3F5F6"/>
          </w:tcPr>
          <w:p>
            <w:pPr>
              <w:pStyle w:val="TableText"/>
              <w:keepNext w:val="0"/>
              <w:keepLines/>
            </w:pPr>
            <w:r>
              <w:rPr>
                <w:sz w:val="20"/>
              </w:rPr>
              <w:t>Acoustic sensing, distinct from Earth resonant quartz</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PM09</w:t>
            </w:r>
          </w:p>
        </w:tc>
        <w:tc>
          <w:tcPr>
            <w:tcW w:type="dxa" w:w="2621"/>
            <w:vAlign w:val="center"/>
            <w:tcMar>
              <w:top w:w="85" w:type="dxa"/>
              <w:bottom w:w="85" w:type="dxa"/>
              <w:left w:w="95" w:type="dxa"/>
              <w:right w:w="95" w:type="dxa"/>
            </w:tcMar>
            <w:shd w:fill="FFFFFF"/>
          </w:tcPr>
          <w:p>
            <w:pPr>
              <w:pStyle w:val="TableText"/>
              <w:keepNext w:val="0"/>
              <w:keepLines/>
            </w:pPr>
            <w:r>
              <w:rPr>
                <w:sz w:val="20"/>
              </w:rPr>
              <w:t>Thermal Spine Crystal</w:t>
            </w:r>
          </w:p>
        </w:tc>
        <w:tc>
          <w:tcPr>
            <w:tcW w:type="dxa" w:w="3226"/>
            <w:vAlign w:val="center"/>
            <w:tcMar>
              <w:top w:w="85" w:type="dxa"/>
              <w:bottom w:w="85" w:type="dxa"/>
              <w:left w:w="95" w:type="dxa"/>
              <w:right w:w="95" w:type="dxa"/>
            </w:tcMar>
            <w:shd w:fill="FFFFFF"/>
          </w:tcPr>
          <w:p>
            <w:pPr>
              <w:pStyle w:val="TableText"/>
              <w:keepNext w:val="0"/>
              <w:keepLines/>
            </w:pPr>
            <w:r>
              <w:rPr>
                <w:sz w:val="20"/>
              </w:rPr>
              <w:t>Native formation, protected sample, exchanger insert</w:t>
            </w:r>
          </w:p>
        </w:tc>
        <w:tc>
          <w:tcPr>
            <w:tcW w:type="dxa" w:w="3226"/>
            <w:vAlign w:val="center"/>
            <w:tcMar>
              <w:top w:w="85" w:type="dxa"/>
              <w:bottom w:w="85" w:type="dxa"/>
              <w:left w:w="95" w:type="dxa"/>
              <w:right w:w="95" w:type="dxa"/>
            </w:tcMar>
            <w:shd w:fill="FFFFFF"/>
          </w:tcPr>
          <w:p>
            <w:pPr>
              <w:pStyle w:val="TableText"/>
              <w:keepNext w:val="0"/>
              <w:keepLines/>
            </w:pPr>
            <w:r>
              <w:rPr>
                <w:sz w:val="20"/>
              </w:rPr>
              <w:t>Bounded heat-transfer equipment</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PM10</w:t>
            </w:r>
          </w:p>
        </w:tc>
        <w:tc>
          <w:tcPr>
            <w:tcW w:type="dxa" w:w="2621"/>
            <w:vAlign w:val="center"/>
            <w:tcMar>
              <w:top w:w="85" w:type="dxa"/>
              <w:bottom w:w="85" w:type="dxa"/>
              <w:left w:w="95" w:type="dxa"/>
              <w:right w:w="95" w:type="dxa"/>
            </w:tcMar>
            <w:shd w:fill="F3F5F6"/>
          </w:tcPr>
          <w:p>
            <w:pPr>
              <w:pStyle w:val="TableText"/>
              <w:keepNext w:val="0"/>
              <w:keepLines/>
            </w:pPr>
            <w:r>
              <w:rPr>
                <w:sz w:val="20"/>
              </w:rPr>
              <w:t>Sulfur Ceramic</w:t>
            </w:r>
          </w:p>
        </w:tc>
        <w:tc>
          <w:tcPr>
            <w:tcW w:type="dxa" w:w="3226"/>
            <w:vAlign w:val="center"/>
            <w:tcMar>
              <w:top w:w="85" w:type="dxa"/>
              <w:bottom w:w="85" w:type="dxa"/>
              <w:left w:w="95" w:type="dxa"/>
              <w:right w:w="95" w:type="dxa"/>
            </w:tcMar>
            <w:shd w:fill="F3F5F6"/>
          </w:tcPr>
          <w:p>
            <w:pPr>
              <w:pStyle w:val="TableText"/>
              <w:keepNext w:val="0"/>
              <w:keepLines/>
            </w:pPr>
            <w:r>
              <w:rPr>
                <w:sz w:val="20"/>
              </w:rPr>
              <w:t>Processed sample, shielding panel, industrial application</w:t>
            </w:r>
          </w:p>
        </w:tc>
        <w:tc>
          <w:tcPr>
            <w:tcW w:type="dxa" w:w="3226"/>
            <w:vAlign w:val="center"/>
            <w:tcMar>
              <w:top w:w="85" w:type="dxa"/>
              <w:bottom w:w="85" w:type="dxa"/>
              <w:left w:w="95" w:type="dxa"/>
              <w:right w:w="95" w:type="dxa"/>
            </w:tcMar>
            <w:shd w:fill="F3F5F6"/>
          </w:tcPr>
          <w:p>
            <w:pPr>
              <w:pStyle w:val="TableText"/>
              <w:keepNext w:val="0"/>
              <w:keepLines/>
            </w:pPr>
            <w:r>
              <w:rPr>
                <w:sz w:val="20"/>
              </w:rPr>
              <w:t>Chemical and thermal equipment enclosures</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PM11</w:t>
            </w:r>
          </w:p>
        </w:tc>
        <w:tc>
          <w:tcPr>
            <w:tcW w:type="dxa" w:w="2621"/>
            <w:vAlign w:val="center"/>
            <w:tcMar>
              <w:top w:w="85" w:type="dxa"/>
              <w:bottom w:w="85" w:type="dxa"/>
              <w:left w:w="95" w:type="dxa"/>
              <w:right w:w="95" w:type="dxa"/>
            </w:tcMar>
            <w:shd w:fill="FFFFFF"/>
          </w:tcPr>
          <w:p>
            <w:pPr>
              <w:pStyle w:val="TableText"/>
              <w:keepNext w:val="0"/>
              <w:keepLines/>
            </w:pPr>
            <w:r>
              <w:rPr>
                <w:sz w:val="20"/>
              </w:rPr>
              <w:t>Amber Polymer</w:t>
            </w:r>
          </w:p>
        </w:tc>
        <w:tc>
          <w:tcPr>
            <w:tcW w:type="dxa" w:w="3226"/>
            <w:vAlign w:val="center"/>
            <w:tcMar>
              <w:top w:w="85" w:type="dxa"/>
              <w:bottom w:w="85" w:type="dxa"/>
              <w:left w:w="95" w:type="dxa"/>
              <w:right w:w="95" w:type="dxa"/>
            </w:tcMar>
            <w:shd w:fill="FFFFFF"/>
          </w:tcPr>
          <w:p>
            <w:pPr>
              <w:pStyle w:val="TableText"/>
              <w:keepNext w:val="0"/>
              <w:keepLines/>
            </w:pPr>
            <w:r>
              <w:rPr>
                <w:sz w:val="20"/>
              </w:rPr>
              <w:t>Feedstock, flexible sheet, sealed housing</w:t>
            </w:r>
          </w:p>
        </w:tc>
        <w:tc>
          <w:tcPr>
            <w:tcW w:type="dxa" w:w="3226"/>
            <w:vAlign w:val="center"/>
            <w:tcMar>
              <w:top w:w="85" w:type="dxa"/>
              <w:bottom w:w="85" w:type="dxa"/>
              <w:left w:w="95" w:type="dxa"/>
              <w:right w:w="95" w:type="dxa"/>
            </w:tcMar>
            <w:shd w:fill="FFFFFF"/>
          </w:tcPr>
          <w:p>
            <w:pPr>
              <w:pStyle w:val="TableText"/>
              <w:keepNext w:val="0"/>
              <w:keepLines/>
            </w:pPr>
            <w:r>
              <w:rPr>
                <w:sz w:val="20"/>
              </w:rPr>
              <w:t>Cold-environment housings and lightweight structures</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PM12</w:t>
            </w:r>
          </w:p>
        </w:tc>
        <w:tc>
          <w:tcPr>
            <w:tcW w:type="dxa" w:w="2621"/>
            <w:vAlign w:val="center"/>
            <w:tcMar>
              <w:top w:w="85" w:type="dxa"/>
              <w:bottom w:w="85" w:type="dxa"/>
              <w:left w:w="95" w:type="dxa"/>
              <w:right w:w="95" w:type="dxa"/>
            </w:tcMar>
            <w:shd w:fill="F3F5F6"/>
          </w:tcPr>
          <w:p>
            <w:pPr>
              <w:pStyle w:val="TableText"/>
              <w:keepNext w:val="0"/>
              <w:keepLines/>
            </w:pPr>
            <w:r>
              <w:rPr>
                <w:sz w:val="20"/>
              </w:rPr>
              <w:t>Liftweave Membrane</w:t>
            </w:r>
          </w:p>
        </w:tc>
        <w:tc>
          <w:tcPr>
            <w:tcW w:type="dxa" w:w="3226"/>
            <w:vAlign w:val="center"/>
            <w:tcMar>
              <w:top w:w="85" w:type="dxa"/>
              <w:bottom w:w="85" w:type="dxa"/>
              <w:left w:w="95" w:type="dxa"/>
              <w:right w:w="95" w:type="dxa"/>
            </w:tcMar>
            <w:shd w:fill="F3F5F6"/>
          </w:tcPr>
          <w:p>
            <w:pPr>
              <w:pStyle w:val="TableText"/>
              <w:keepNext w:val="0"/>
              <w:keepLines/>
            </w:pPr>
            <w:r>
              <w:rPr>
                <w:sz w:val="20"/>
              </w:rPr>
              <w:t>Raw membrane, fabricated envelope, craft application</w:t>
            </w:r>
          </w:p>
        </w:tc>
        <w:tc>
          <w:tcPr>
            <w:tcW w:type="dxa" w:w="3226"/>
            <w:vAlign w:val="center"/>
            <w:tcMar>
              <w:top w:w="85" w:type="dxa"/>
              <w:bottom w:w="85" w:type="dxa"/>
              <w:left w:w="95" w:type="dxa"/>
              <w:right w:w="95" w:type="dxa"/>
            </w:tcMar>
            <w:shd w:fill="F3F5F6"/>
          </w:tcPr>
          <w:p>
            <w:pPr>
              <w:pStyle w:val="TableText"/>
              <w:keepNext w:val="0"/>
              <w:keepLines/>
            </w:pPr>
            <w:r>
              <w:rPr>
                <w:sz w:val="20"/>
              </w:rPr>
              <w:t>Specialized supported atmospheric movement</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PM13</w:t>
            </w:r>
          </w:p>
        </w:tc>
        <w:tc>
          <w:tcPr>
            <w:tcW w:type="dxa" w:w="2621"/>
            <w:vAlign w:val="center"/>
            <w:tcMar>
              <w:top w:w="85" w:type="dxa"/>
              <w:bottom w:w="85" w:type="dxa"/>
              <w:left w:w="95" w:type="dxa"/>
              <w:right w:w="95" w:type="dxa"/>
            </w:tcMar>
            <w:shd w:fill="FFFFFF"/>
          </w:tcPr>
          <w:p>
            <w:pPr>
              <w:pStyle w:val="TableText"/>
              <w:keepNext w:val="0"/>
              <w:keepLines/>
            </w:pPr>
            <w:r>
              <w:rPr>
                <w:sz w:val="20"/>
              </w:rPr>
              <w:t>Nightglass</w:t>
            </w:r>
          </w:p>
        </w:tc>
        <w:tc>
          <w:tcPr>
            <w:tcW w:type="dxa" w:w="3226"/>
            <w:vAlign w:val="center"/>
            <w:tcMar>
              <w:top w:w="85" w:type="dxa"/>
              <w:bottom w:w="85" w:type="dxa"/>
              <w:left w:w="95" w:type="dxa"/>
              <w:right w:w="95" w:type="dxa"/>
            </w:tcMar>
            <w:shd w:fill="FFFFFF"/>
          </w:tcPr>
          <w:p>
            <w:pPr>
              <w:pStyle w:val="TableText"/>
              <w:keepNext w:val="0"/>
              <w:keepLines/>
            </w:pPr>
            <w:r>
              <w:rPr>
                <w:sz w:val="20"/>
              </w:rPr>
              <w:t>Rifts formation, optical element, navigation array</w:t>
            </w:r>
          </w:p>
        </w:tc>
        <w:tc>
          <w:tcPr>
            <w:tcW w:type="dxa" w:w="3226"/>
            <w:vAlign w:val="center"/>
            <w:tcMar>
              <w:top w:w="85" w:type="dxa"/>
              <w:bottom w:w="85" w:type="dxa"/>
              <w:left w:w="95" w:type="dxa"/>
              <w:right w:w="95" w:type="dxa"/>
            </w:tcMar>
            <w:shd w:fill="FFFFFF"/>
          </w:tcPr>
          <w:p>
            <w:pPr>
              <w:pStyle w:val="TableText"/>
              <w:keepNext w:val="0"/>
              <w:keepLines/>
            </w:pPr>
            <w:r>
              <w:rPr>
                <w:sz w:val="20"/>
              </w:rPr>
              <w:t>Low-light optics and route calibration</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PM14</w:t>
            </w:r>
          </w:p>
        </w:tc>
        <w:tc>
          <w:tcPr>
            <w:tcW w:type="dxa" w:w="2621"/>
            <w:vAlign w:val="center"/>
            <w:tcMar>
              <w:top w:w="85" w:type="dxa"/>
              <w:bottom w:w="85" w:type="dxa"/>
              <w:left w:w="95" w:type="dxa"/>
              <w:right w:w="95" w:type="dxa"/>
            </w:tcMar>
            <w:shd w:fill="F3F5F6"/>
          </w:tcPr>
          <w:p>
            <w:pPr>
              <w:pStyle w:val="TableText"/>
              <w:keepNext w:val="0"/>
              <w:keepLines/>
            </w:pPr>
            <w:r>
              <w:rPr>
                <w:sz w:val="20"/>
              </w:rPr>
              <w:t>Memory Frost</w:t>
            </w:r>
          </w:p>
        </w:tc>
        <w:tc>
          <w:tcPr>
            <w:tcW w:type="dxa" w:w="3226"/>
            <w:vAlign w:val="center"/>
            <w:tcMar>
              <w:top w:w="85" w:type="dxa"/>
              <w:bottom w:w="85" w:type="dxa"/>
              <w:left w:w="95" w:type="dxa"/>
              <w:right w:w="95" w:type="dxa"/>
            </w:tcMar>
            <w:shd w:fill="F3F5F6"/>
          </w:tcPr>
          <w:p>
            <w:pPr>
              <w:pStyle w:val="TableText"/>
              <w:keepNext w:val="0"/>
              <w:keepLines/>
            </w:pPr>
            <w:r>
              <w:rPr>
                <w:sz w:val="20"/>
              </w:rPr>
              <w:t>Layered sample, containment case, analysis image</w:t>
            </w:r>
          </w:p>
        </w:tc>
        <w:tc>
          <w:tcPr>
            <w:tcW w:type="dxa" w:w="3226"/>
            <w:vAlign w:val="center"/>
            <w:tcMar>
              <w:top w:w="85" w:type="dxa"/>
              <w:bottom w:w="85" w:type="dxa"/>
              <w:left w:w="95" w:type="dxa"/>
              <w:right w:w="95" w:type="dxa"/>
            </w:tcMar>
            <w:shd w:fill="F3F5F6"/>
          </w:tcPr>
          <w:p>
            <w:pPr>
              <w:pStyle w:val="TableText"/>
              <w:keepNext w:val="0"/>
              <w:keepLines/>
            </w:pPr>
            <w:r>
              <w:rPr>
                <w:sz w:val="20"/>
              </w:rPr>
              <w:t>Preserved-pattern research medium</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PM15</w:t>
            </w:r>
          </w:p>
        </w:tc>
        <w:tc>
          <w:tcPr>
            <w:tcW w:type="dxa" w:w="2621"/>
            <w:vAlign w:val="center"/>
            <w:tcMar>
              <w:top w:w="85" w:type="dxa"/>
              <w:bottom w:w="85" w:type="dxa"/>
              <w:left w:w="95" w:type="dxa"/>
              <w:right w:w="95" w:type="dxa"/>
            </w:tcMar>
            <w:shd w:fill="FFFFFF"/>
          </w:tcPr>
          <w:p>
            <w:pPr>
              <w:pStyle w:val="TableText"/>
              <w:keepNext w:val="0"/>
              <w:keepLines/>
            </w:pPr>
            <w:r>
              <w:rPr>
                <w:sz w:val="20"/>
              </w:rPr>
              <w:t>Palimpsest Plate</w:t>
            </w:r>
          </w:p>
        </w:tc>
        <w:tc>
          <w:tcPr>
            <w:tcW w:type="dxa" w:w="3226"/>
            <w:vAlign w:val="center"/>
            <w:tcMar>
              <w:top w:w="85" w:type="dxa"/>
              <w:bottom w:w="85" w:type="dxa"/>
              <w:left w:w="95" w:type="dxa"/>
              <w:right w:w="95" w:type="dxa"/>
            </w:tcMar>
            <w:shd w:fill="FFFFFF"/>
          </w:tcPr>
          <w:p>
            <w:pPr>
              <w:pStyle w:val="TableText"/>
              <w:keepNext w:val="0"/>
              <w:keepLines/>
            </w:pPr>
            <w:r>
              <w:rPr>
                <w:sz w:val="20"/>
              </w:rPr>
              <w:t>Recoverable fragment, layered surface, archive interface</w:t>
            </w:r>
          </w:p>
        </w:tc>
        <w:tc>
          <w:tcPr>
            <w:tcW w:type="dxa" w:w="3226"/>
            <w:vAlign w:val="center"/>
            <w:tcMar>
              <w:top w:w="85" w:type="dxa"/>
              <w:bottom w:w="85" w:type="dxa"/>
              <w:left w:w="95" w:type="dxa"/>
              <w:right w:w="95" w:type="dxa"/>
            </w:tcMar>
            <w:shd w:fill="FFFFFF"/>
          </w:tcPr>
          <w:p>
            <w:pPr>
              <w:pStyle w:val="TableText"/>
              <w:keepNext w:val="0"/>
              <w:keepLines/>
            </w:pPr>
            <w:r>
              <w:rPr>
                <w:sz w:val="20"/>
              </w:rPr>
              <w:t>Precision and archival equipment</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PM16</w:t>
            </w:r>
          </w:p>
        </w:tc>
        <w:tc>
          <w:tcPr>
            <w:tcW w:type="dxa" w:w="2621"/>
            <w:vAlign w:val="center"/>
            <w:tcMar>
              <w:top w:w="85" w:type="dxa"/>
              <w:bottom w:w="85" w:type="dxa"/>
              <w:left w:w="95" w:type="dxa"/>
              <w:right w:w="95" w:type="dxa"/>
            </w:tcMar>
            <w:shd w:fill="F3F5F6"/>
          </w:tcPr>
          <w:p>
            <w:pPr>
              <w:pStyle w:val="TableText"/>
              <w:keepNext w:val="0"/>
              <w:keepLines/>
            </w:pPr>
            <w:r>
              <w:rPr>
                <w:sz w:val="20"/>
              </w:rPr>
              <w:t>Phase Tine</w:t>
            </w:r>
          </w:p>
        </w:tc>
        <w:tc>
          <w:tcPr>
            <w:tcW w:type="dxa" w:w="3226"/>
            <w:vAlign w:val="center"/>
            <w:tcMar>
              <w:top w:w="85" w:type="dxa"/>
              <w:bottom w:w="85" w:type="dxa"/>
              <w:left w:w="95" w:type="dxa"/>
              <w:right w:w="95" w:type="dxa"/>
            </w:tcMar>
            <w:shd w:fill="F3F5F6"/>
          </w:tcPr>
          <w:p>
            <w:pPr>
              <w:pStyle w:val="TableText"/>
              <w:keepNext w:val="0"/>
              <w:keepLines/>
            </w:pPr>
            <w:r>
              <w:rPr>
                <w:sz w:val="20"/>
              </w:rPr>
              <w:t>Resonant component, protective housing, local device</w:t>
            </w:r>
          </w:p>
        </w:tc>
        <w:tc>
          <w:tcPr>
            <w:tcW w:type="dxa" w:w="3226"/>
            <w:vAlign w:val="center"/>
            <w:tcMar>
              <w:top w:w="85" w:type="dxa"/>
              <w:bottom w:w="85" w:type="dxa"/>
              <w:left w:w="95" w:type="dxa"/>
              <w:right w:w="95" w:type="dxa"/>
            </w:tcMar>
            <w:shd w:fill="F3F5F6"/>
          </w:tcPr>
          <w:p>
            <w:pPr>
              <w:pStyle w:val="TableText"/>
              <w:keepNext w:val="0"/>
              <w:keepLines/>
            </w:pPr>
            <w:r>
              <w:rPr>
                <w:sz w:val="20"/>
              </w:rPr>
              <w:t>Bounded anomaly sensing and alignment</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PM17</w:t>
            </w:r>
          </w:p>
        </w:tc>
        <w:tc>
          <w:tcPr>
            <w:tcW w:type="dxa" w:w="2621"/>
            <w:vAlign w:val="center"/>
            <w:tcMar>
              <w:top w:w="85" w:type="dxa"/>
              <w:bottom w:w="85" w:type="dxa"/>
              <w:left w:w="95" w:type="dxa"/>
              <w:right w:w="95" w:type="dxa"/>
            </w:tcMar>
            <w:shd w:fill="FFFFFF"/>
          </w:tcPr>
          <w:p>
            <w:pPr>
              <w:pStyle w:val="TableText"/>
              <w:keepNext w:val="0"/>
              <w:keepLines/>
            </w:pPr>
            <w:r>
              <w:rPr>
                <w:sz w:val="20"/>
              </w:rPr>
              <w:t>Living Ceramic</w:t>
            </w:r>
          </w:p>
        </w:tc>
        <w:tc>
          <w:tcPr>
            <w:tcW w:type="dxa" w:w="3226"/>
            <w:vAlign w:val="center"/>
            <w:tcMar>
              <w:top w:w="85" w:type="dxa"/>
              <w:bottom w:w="85" w:type="dxa"/>
              <w:left w:w="95" w:type="dxa"/>
              <w:right w:w="95" w:type="dxa"/>
            </w:tcMar>
            <w:shd w:fill="FFFFFF"/>
          </w:tcPr>
          <w:p>
            <w:pPr>
              <w:pStyle w:val="TableText"/>
              <w:keepNext w:val="0"/>
              <w:keepLines/>
            </w:pPr>
            <w:r>
              <w:rPr>
                <w:sz w:val="20"/>
              </w:rPr>
              <w:t>Cultivated growth, inert finished panel, habitat application</w:t>
            </w:r>
          </w:p>
        </w:tc>
        <w:tc>
          <w:tcPr>
            <w:tcW w:type="dxa" w:w="3226"/>
            <w:vAlign w:val="center"/>
            <w:tcMar>
              <w:top w:w="85" w:type="dxa"/>
              <w:bottom w:w="85" w:type="dxa"/>
              <w:left w:w="95" w:type="dxa"/>
              <w:right w:w="95" w:type="dxa"/>
            </w:tcMar>
            <w:shd w:fill="FFFFFF"/>
          </w:tcPr>
          <w:p>
            <w:pPr>
              <w:pStyle w:val="TableText"/>
              <w:keepNext w:val="0"/>
              <w:keepLines/>
            </w:pPr>
            <w:r>
              <w:rPr>
                <w:sz w:val="20"/>
              </w:rPr>
              <w:t>Controlled ecological construction</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PM18</w:t>
            </w:r>
          </w:p>
        </w:tc>
        <w:tc>
          <w:tcPr>
            <w:tcW w:type="dxa" w:w="2621"/>
            <w:vAlign w:val="center"/>
            <w:tcMar>
              <w:top w:w="85" w:type="dxa"/>
              <w:bottom w:w="85" w:type="dxa"/>
              <w:left w:w="95" w:type="dxa"/>
              <w:right w:w="95" w:type="dxa"/>
            </w:tcMar>
            <w:shd w:fill="F3F5F6"/>
          </w:tcPr>
          <w:p>
            <w:pPr>
              <w:pStyle w:val="TableText"/>
              <w:keepNext w:val="0"/>
              <w:keepLines/>
            </w:pPr>
            <w:r>
              <w:rPr>
                <w:sz w:val="20"/>
              </w:rPr>
              <w:t>Tidelace Fiber</w:t>
            </w:r>
          </w:p>
        </w:tc>
        <w:tc>
          <w:tcPr>
            <w:tcW w:type="dxa" w:w="3226"/>
            <w:vAlign w:val="center"/>
            <w:tcMar>
              <w:top w:w="85" w:type="dxa"/>
              <w:bottom w:w="85" w:type="dxa"/>
              <w:left w:w="95" w:type="dxa"/>
              <w:right w:w="95" w:type="dxa"/>
            </w:tcMar>
            <w:shd w:fill="F3F5F6"/>
          </w:tcPr>
          <w:p>
            <w:pPr>
              <w:pStyle w:val="TableText"/>
              <w:keepNext w:val="0"/>
              <w:keepLines/>
            </w:pPr>
            <w:r>
              <w:rPr>
                <w:sz w:val="20"/>
              </w:rPr>
              <w:t>Growth source, filament spool, responsive screen</w:t>
            </w:r>
          </w:p>
        </w:tc>
        <w:tc>
          <w:tcPr>
            <w:tcW w:type="dxa" w:w="3226"/>
            <w:vAlign w:val="center"/>
            <w:tcMar>
              <w:top w:w="85" w:type="dxa"/>
              <w:bottom w:w="85" w:type="dxa"/>
              <w:left w:w="95" w:type="dxa"/>
              <w:right w:w="95" w:type="dxa"/>
            </w:tcMar>
            <w:shd w:fill="F3F5F6"/>
          </w:tcPr>
          <w:p>
            <w:pPr>
              <w:pStyle w:val="TableText"/>
              <w:keepNext w:val="0"/>
              <w:keepLines/>
            </w:pPr>
            <w:r>
              <w:rPr>
                <w:sz w:val="20"/>
              </w:rPr>
              <w:t>Lightweight tools and ecological instruments</w:t>
            </w:r>
          </w:p>
        </w:tc>
      </w:tr>
    </w:tbl>
    <w:p>
      <w:pPr>
        <w:spacing w:after="0" w:before="0" w:line="60" w:lineRule="exact"/>
      </w:pPr>
      <w:r>
        <w:rPr>
          <w:sz w:val="6"/>
        </w:rPr>
      </w:r>
    </w:p>
    <w:p>
      <w:bookmarkStart w:id="34" w:name="chapter_34"/>
      <w:pPr>
        <w:pStyle w:val="Heading1"/>
      </w:pPr>
      <w:r>
        <w:t>Visual direction and the illustrated edition</w:t>
      </w:r>
      <w:bookmarkEnd w:id="34"/>
    </w:p>
    <w:p>
      <w:pPr>
        <w:pStyle w:val="Heading2"/>
      </w:pPr>
      <w:r>
        <w:t>The purpose of the images</w:t>
      </w:r>
    </w:p>
    <w:p>
      <w:pPr/>
      <w:r>
        <w:t>The illustrated edition should make the intended game easy to imagine and difficult to misinterpret. Images need to explain scale, shapes, materials, variation, activity, and the relationship between places. A beautiful distant panorama is useful, but it cannot explain how a player crosses a room, uses a tool, enters a building, or recognizes an ore seam.</w:t>
      </w:r>
    </w:p>
    <w:p>
      <w:pPr/>
      <w:r>
        <w:t>This text edition defines the image programme without generating it. Once the text is confirmed, production can proceed through the complete register using one consistent visual language. Each image should refer to its corresponding content identifier and approved description. New inventions introduced while drawing or generating an image remain proposed changes until reconciled with the text.</w:t>
      </w:r>
    </w:p>
    <w:p>
      <w:pPr/>
      <w:r>
        <w:t>The illustrated document should place images beside the relevant environment or system, with complete environment and object indexes at the end. It should retain the full text rather than shrink into a brochure. Images make the content more legible; they do not replace the design relationships that a later roadmap needs.</w:t>
      </w:r>
    </w:p>
    <w:p>
      <w:pPr>
        <w:pStyle w:val="Heading2"/>
      </w:pPr>
      <w:r>
        <w:t>Minecraft geometry and a richer atmosphere</w:t>
      </w:r>
    </w:p>
    <w:p>
      <w:pPr/>
      <w:r>
        <w:t>The visual direction uses recognizable block construction, readable material boundaries, and a world the player can plausibly navigate and modify. Surfaces can be textured and detailed, but the major forms must still read as blocks and designed block arrangements. Tools, creatures, plants, machinery, and spacecraft should belong to that world at the scale of an ordinary player.</w:t>
      </w:r>
    </w:p>
    <w:p>
      <w:pPr/>
      <w:r>
        <w:t>The accepted surface target provides a useful starting point: rich blue water, visible growth beneath clear shallows, expressive trees, warm sunlight, shaded stone, and enough contrast to reveal depth. That treatment should extend into the underground through more specific local palettes. Deepwilds emphasizes living light and dark organic structure; Underreach emphasizes stone mass and warm working areas; Abyss emphasizes selective visibility and secure points of light; Mantle emphasizes mineral heat without bathing every surface in red; Core emphasizes restraint around unusual materials.</w:t>
      </w:r>
    </w:p>
    <w:p>
      <w:pPr/>
      <w:r>
        <w:t>Art must identify which quality comes from terrain and assets and which comes from presentation. A new shelf, river bend, root arch, tree silhouette, ruin, or cave opening requires content. Shadow softness, water reflection, color grading, atmospheric haze, and light bloom are presentation choices. The later implementation plan can then assign the correct kind of work.</w:t>
      </w:r>
    </w:p>
    <w:p>
      <w:pPr/>
      <w:r>
        <w:t>The baseline game must remain attractive and readable without optional shaders. Material colors, block silhouettes, landmarks, hazard markings, and route indicators carry the experience. Enhanced presentation can add depth and mood after those elements work. Generated art should not imply a shader alone can create all the pictured terrain or make missing gameplay appear.</w:t>
      </w:r>
    </w:p>
    <w:p>
      <w:pPr>
        <w:pStyle w:val="Heading2"/>
      </w:pPr>
      <w:r>
        <w:t>Palette and composition by realm</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98"/>
        <w:gridCol w:w="3298"/>
        <w:gridCol w:w="4197"/>
      </w:tblGrid>
      <w:tr>
        <w:trPr>
          <w:cantSplit/>
          <w:tblHeader w:val="true"/>
        </w:trPr>
        <w:tc>
          <w:tcPr>
            <w:tcW w:type="dxa" w:w="2498"/>
            <w:vAlign w:val="center"/>
            <w:tcMar>
              <w:top w:w="85" w:type="dxa"/>
              <w:bottom w:w="85" w:type="dxa"/>
              <w:left w:w="95" w:type="dxa"/>
              <w:right w:w="95" w:type="dxa"/>
            </w:tcMar>
            <w:shd w:fill="233544"/>
          </w:tcPr>
          <w:p>
            <w:pPr>
              <w:pStyle w:val="TableText"/>
              <w:keepNext w:val="0"/>
              <w:keepLines/>
              <w:jc w:val="center"/>
            </w:pPr>
            <w:r>
              <w:rPr>
                <w:b/>
                <w:color w:val="FFFFFF"/>
                <w:sz w:val="20"/>
              </w:rPr>
              <w:t>Realm</w:t>
            </w:r>
          </w:p>
        </w:tc>
        <w:tc>
          <w:tcPr>
            <w:tcW w:type="dxa" w:w="3298"/>
            <w:vAlign w:val="center"/>
            <w:tcMar>
              <w:top w:w="85" w:type="dxa"/>
              <w:bottom w:w="85" w:type="dxa"/>
              <w:left w:w="95" w:type="dxa"/>
              <w:right w:w="95" w:type="dxa"/>
            </w:tcMar>
            <w:shd w:fill="233544"/>
          </w:tcPr>
          <w:p>
            <w:pPr>
              <w:pStyle w:val="TableText"/>
              <w:keepNext w:val="0"/>
              <w:keepLines/>
            </w:pPr>
            <w:r>
              <w:rPr>
                <w:b/>
                <w:color w:val="FFFFFF"/>
                <w:sz w:val="20"/>
              </w:rPr>
              <w:t>Dominant material and color direction</w:t>
            </w:r>
          </w:p>
        </w:tc>
        <w:tc>
          <w:tcPr>
            <w:tcW w:type="dxa" w:w="4197"/>
            <w:vAlign w:val="center"/>
            <w:tcMar>
              <w:top w:w="85" w:type="dxa"/>
              <w:bottom w:w="85" w:type="dxa"/>
              <w:left w:w="95" w:type="dxa"/>
              <w:right w:w="95" w:type="dxa"/>
            </w:tcMar>
            <w:shd w:fill="233544"/>
          </w:tcPr>
          <w:p>
            <w:pPr>
              <w:pStyle w:val="TableText"/>
              <w:keepNext w:val="0"/>
              <w:keepLines/>
            </w:pPr>
            <w:r>
              <w:rPr>
                <w:b/>
                <w:color w:val="FFFFFF"/>
                <w:sz w:val="20"/>
              </w:rPr>
              <w:t>Light and composition rule</w:t>
            </w:r>
          </w:p>
        </w:tc>
      </w:tr>
      <w:tr>
        <w:trPr>
          <w:cantSplit/>
        </w:trPr>
        <w:tc>
          <w:tcPr>
            <w:tcW w:type="dxa" w:w="2498"/>
            <w:vAlign w:val="center"/>
            <w:tcMar>
              <w:top w:w="85" w:type="dxa"/>
              <w:bottom w:w="85" w:type="dxa"/>
              <w:left w:w="95" w:type="dxa"/>
              <w:right w:w="95" w:type="dxa"/>
            </w:tcMar>
            <w:shd w:fill="FFFFFF"/>
          </w:tcPr>
          <w:p>
            <w:pPr>
              <w:pStyle w:val="TableText"/>
              <w:keepNext w:val="0"/>
              <w:keepLines/>
              <w:jc w:val="center"/>
            </w:pPr>
            <w:r>
              <w:rPr>
                <w:sz w:val="20"/>
              </w:rPr>
              <w:t>Overworld</w:t>
            </w:r>
          </w:p>
        </w:tc>
        <w:tc>
          <w:tcPr>
            <w:tcW w:type="dxa" w:w="3298"/>
            <w:vAlign w:val="center"/>
            <w:tcMar>
              <w:top w:w="85" w:type="dxa"/>
              <w:bottom w:w="85" w:type="dxa"/>
              <w:left w:w="95" w:type="dxa"/>
              <w:right w:w="95" w:type="dxa"/>
            </w:tcMar>
            <w:shd w:fill="FFFFFF"/>
          </w:tcPr>
          <w:p>
            <w:pPr>
              <w:pStyle w:val="TableText"/>
              <w:keepNext w:val="0"/>
              <w:keepLines/>
            </w:pPr>
            <w:r>
              <w:rPr>
                <w:sz w:val="20"/>
              </w:rPr>
              <w:t>Familiar greens, blue water, pale exposed stone, warm timber</w:t>
            </w:r>
          </w:p>
        </w:tc>
        <w:tc>
          <w:tcPr>
            <w:tcW w:type="dxa" w:w="4197"/>
            <w:vAlign w:val="center"/>
            <w:tcMar>
              <w:top w:w="85" w:type="dxa"/>
              <w:bottom w:w="85" w:type="dxa"/>
              <w:left w:w="95" w:type="dxa"/>
              <w:right w:w="95" w:type="dxa"/>
            </w:tcMar>
            <w:shd w:fill="FFFFFF"/>
          </w:tcPr>
          <w:p>
            <w:pPr>
              <w:pStyle w:val="TableText"/>
              <w:keepNext w:val="0"/>
              <w:keepLines/>
            </w:pPr>
            <w:r>
              <w:rPr>
                <w:sz w:val="20"/>
              </w:rPr>
              <w:t>Daylight establishes clear foreground, useful middle distance, and a readable route.</w:t>
            </w:r>
          </w:p>
        </w:tc>
      </w:tr>
      <w:tr>
        <w:trPr>
          <w:cantSplit/>
        </w:trPr>
        <w:tc>
          <w:tcPr>
            <w:tcW w:type="dxa" w:w="2498"/>
            <w:vAlign w:val="center"/>
            <w:tcMar>
              <w:top w:w="85" w:type="dxa"/>
              <w:bottom w:w="85" w:type="dxa"/>
              <w:left w:w="95" w:type="dxa"/>
              <w:right w:w="95" w:type="dxa"/>
            </w:tcMar>
            <w:shd w:fill="F3F5F6"/>
          </w:tcPr>
          <w:p>
            <w:pPr>
              <w:pStyle w:val="TableText"/>
              <w:keepNext w:val="0"/>
              <w:keepLines/>
              <w:jc w:val="center"/>
            </w:pPr>
            <w:r>
              <w:rPr>
                <w:sz w:val="20"/>
              </w:rPr>
              <w:t>Shallows</w:t>
            </w:r>
          </w:p>
        </w:tc>
        <w:tc>
          <w:tcPr>
            <w:tcW w:type="dxa" w:w="3298"/>
            <w:vAlign w:val="center"/>
            <w:tcMar>
              <w:top w:w="85" w:type="dxa"/>
              <w:bottom w:w="85" w:type="dxa"/>
              <w:left w:w="95" w:type="dxa"/>
              <w:right w:w="95" w:type="dxa"/>
            </w:tcMar>
            <w:shd w:fill="F3F5F6"/>
          </w:tcPr>
          <w:p>
            <w:pPr>
              <w:pStyle w:val="TableText"/>
              <w:keepNext w:val="0"/>
              <w:keepLines/>
            </w:pPr>
            <w:r>
              <w:rPr>
                <w:sz w:val="20"/>
              </w:rPr>
              <w:t>Earth browns, chalk, copper stains, wet gray stone</w:t>
            </w:r>
          </w:p>
        </w:tc>
        <w:tc>
          <w:tcPr>
            <w:tcW w:type="dxa" w:w="4197"/>
            <w:vAlign w:val="center"/>
            <w:tcMar>
              <w:top w:w="85" w:type="dxa"/>
              <w:bottom w:w="85" w:type="dxa"/>
              <w:left w:w="95" w:type="dxa"/>
              <w:right w:w="95" w:type="dxa"/>
            </w:tcMar>
            <w:shd w:fill="F3F5F6"/>
          </w:tcPr>
          <w:p>
            <w:pPr>
              <w:pStyle w:val="TableText"/>
              <w:keepNext w:val="0"/>
              <w:keepLines/>
            </w:pPr>
            <w:r>
              <w:rPr>
                <w:sz w:val="20"/>
              </w:rPr>
              <w:t>Daylight fades gradually; player light becomes increasingly important.</w:t>
            </w:r>
          </w:p>
        </w:tc>
      </w:tr>
      <w:tr>
        <w:trPr>
          <w:cantSplit/>
        </w:trPr>
        <w:tc>
          <w:tcPr>
            <w:tcW w:type="dxa" w:w="2498"/>
            <w:vAlign w:val="center"/>
            <w:tcMar>
              <w:top w:w="85" w:type="dxa"/>
              <w:bottom w:w="85" w:type="dxa"/>
              <w:left w:w="95" w:type="dxa"/>
              <w:right w:w="95" w:type="dxa"/>
            </w:tcMar>
            <w:shd w:fill="FFFFFF"/>
          </w:tcPr>
          <w:p>
            <w:pPr>
              <w:pStyle w:val="TableText"/>
              <w:keepNext w:val="0"/>
              <w:keepLines/>
              <w:jc w:val="center"/>
            </w:pPr>
            <w:r>
              <w:rPr>
                <w:sz w:val="20"/>
              </w:rPr>
              <w:t>Deepwilds</w:t>
            </w:r>
          </w:p>
        </w:tc>
        <w:tc>
          <w:tcPr>
            <w:tcW w:type="dxa" w:w="3298"/>
            <w:vAlign w:val="center"/>
            <w:tcMar>
              <w:top w:w="85" w:type="dxa"/>
              <w:bottom w:w="85" w:type="dxa"/>
              <w:left w:w="95" w:type="dxa"/>
              <w:right w:w="95" w:type="dxa"/>
            </w:tcMar>
            <w:shd w:fill="FFFFFF"/>
          </w:tcPr>
          <w:p>
            <w:pPr>
              <w:pStyle w:val="TableText"/>
              <w:keepNext w:val="0"/>
              <w:keepLines/>
            </w:pPr>
            <w:r>
              <w:rPr>
                <w:sz w:val="20"/>
              </w:rPr>
              <w:t>Dark organic forms, moss, restrained amber and blue living accents</w:t>
            </w:r>
          </w:p>
        </w:tc>
        <w:tc>
          <w:tcPr>
            <w:tcW w:type="dxa" w:w="4197"/>
            <w:vAlign w:val="center"/>
            <w:tcMar>
              <w:top w:w="85" w:type="dxa"/>
              <w:bottom w:w="85" w:type="dxa"/>
              <w:left w:w="95" w:type="dxa"/>
              <w:right w:w="95" w:type="dxa"/>
            </w:tcMar>
            <w:shd w:fill="FFFFFF"/>
          </w:tcPr>
          <w:p>
            <w:pPr>
              <w:pStyle w:val="TableText"/>
              <w:keepNext w:val="0"/>
              <w:keepLines/>
            </w:pPr>
            <w:r>
              <w:rPr>
                <w:sz w:val="20"/>
              </w:rPr>
              <w:t>Bright habitats are separated by darker usable paths and clearings.</w:t>
            </w:r>
          </w:p>
        </w:tc>
      </w:tr>
      <w:tr>
        <w:trPr>
          <w:cantSplit/>
        </w:trPr>
        <w:tc>
          <w:tcPr>
            <w:tcW w:type="dxa" w:w="2498"/>
            <w:vAlign w:val="center"/>
            <w:tcMar>
              <w:top w:w="85" w:type="dxa"/>
              <w:bottom w:w="85" w:type="dxa"/>
              <w:left w:w="95" w:type="dxa"/>
              <w:right w:w="95" w:type="dxa"/>
            </w:tcMar>
            <w:shd w:fill="F3F5F6"/>
          </w:tcPr>
          <w:p>
            <w:pPr>
              <w:pStyle w:val="TableText"/>
              <w:keepNext w:val="0"/>
              <w:keepLines/>
              <w:jc w:val="center"/>
            </w:pPr>
            <w:r>
              <w:rPr>
                <w:sz w:val="20"/>
              </w:rPr>
              <w:t>Underreach</w:t>
            </w:r>
          </w:p>
        </w:tc>
        <w:tc>
          <w:tcPr>
            <w:tcW w:type="dxa" w:w="3298"/>
            <w:vAlign w:val="center"/>
            <w:tcMar>
              <w:top w:w="85" w:type="dxa"/>
              <w:bottom w:w="85" w:type="dxa"/>
              <w:left w:w="95" w:type="dxa"/>
              <w:right w:w="95" w:type="dxa"/>
            </w:tcMar>
            <w:shd w:fill="F3F5F6"/>
          </w:tcPr>
          <w:p>
            <w:pPr>
              <w:pStyle w:val="TableText"/>
              <w:keepNext w:val="0"/>
              <w:keepLines/>
            </w:pPr>
            <w:r>
              <w:rPr>
                <w:sz w:val="20"/>
              </w:rPr>
              <w:t>Dense gray rock, mineral white, dark water, warm constructed timber and metal</w:t>
            </w:r>
          </w:p>
        </w:tc>
        <w:tc>
          <w:tcPr>
            <w:tcW w:type="dxa" w:w="4197"/>
            <w:vAlign w:val="center"/>
            <w:tcMar>
              <w:top w:w="85" w:type="dxa"/>
              <w:bottom w:w="85" w:type="dxa"/>
              <w:left w:w="95" w:type="dxa"/>
              <w:right w:w="95" w:type="dxa"/>
            </w:tcMar>
            <w:shd w:fill="F3F5F6"/>
          </w:tcPr>
          <w:p>
            <w:pPr>
              <w:pStyle w:val="TableText"/>
              <w:keepNext w:val="0"/>
              <w:keepLines/>
            </w:pPr>
            <w:r>
              <w:rPr>
                <w:sz w:val="20"/>
              </w:rPr>
              <w:t>Large natural masses frame inhabited working places.</w:t>
            </w:r>
          </w:p>
        </w:tc>
      </w:tr>
      <w:tr>
        <w:trPr>
          <w:cantSplit/>
        </w:trPr>
        <w:tc>
          <w:tcPr>
            <w:tcW w:type="dxa" w:w="2498"/>
            <w:vAlign w:val="center"/>
            <w:tcMar>
              <w:top w:w="85" w:type="dxa"/>
              <w:bottom w:w="85" w:type="dxa"/>
              <w:left w:w="95" w:type="dxa"/>
              <w:right w:w="95" w:type="dxa"/>
            </w:tcMar>
            <w:shd w:fill="FFFFFF"/>
          </w:tcPr>
          <w:p>
            <w:pPr>
              <w:pStyle w:val="TableText"/>
              <w:keepNext w:val="0"/>
              <w:keepLines/>
              <w:jc w:val="center"/>
            </w:pPr>
            <w:r>
              <w:rPr>
                <w:sz w:val="20"/>
              </w:rPr>
              <w:t>Abyss</w:t>
            </w:r>
          </w:p>
        </w:tc>
        <w:tc>
          <w:tcPr>
            <w:tcW w:type="dxa" w:w="3298"/>
            <w:vAlign w:val="center"/>
            <w:tcMar>
              <w:top w:w="85" w:type="dxa"/>
              <w:bottom w:w="85" w:type="dxa"/>
              <w:left w:w="95" w:type="dxa"/>
              <w:right w:w="95" w:type="dxa"/>
            </w:tcMar>
            <w:shd w:fill="FFFFFF"/>
          </w:tcPr>
          <w:p>
            <w:pPr>
              <w:pStyle w:val="TableText"/>
              <w:keepNext w:val="0"/>
              <w:keepLines/>
            </w:pPr>
            <w:r>
              <w:rPr>
                <w:sz w:val="20"/>
              </w:rPr>
              <w:t>Near-black rock, pale mineral shelves, dark water, sparse cool accents</w:t>
            </w:r>
          </w:p>
        </w:tc>
        <w:tc>
          <w:tcPr>
            <w:tcW w:type="dxa" w:w="4197"/>
            <w:vAlign w:val="center"/>
            <w:tcMar>
              <w:top w:w="85" w:type="dxa"/>
              <w:bottom w:w="85" w:type="dxa"/>
              <w:left w:w="95" w:type="dxa"/>
              <w:right w:w="95" w:type="dxa"/>
            </w:tcMar>
            <w:shd w:fill="FFFFFF"/>
          </w:tcPr>
          <w:p>
            <w:pPr>
              <w:pStyle w:val="TableText"/>
              <w:keepNext w:val="0"/>
              <w:keepLines/>
            </w:pPr>
            <w:r>
              <w:rPr>
                <w:sz w:val="20"/>
              </w:rPr>
              <w:t>Readable foreground and selected landmarks give darkness an understandable geography.</w:t>
            </w:r>
          </w:p>
        </w:tc>
      </w:tr>
      <w:tr>
        <w:trPr>
          <w:cantSplit/>
        </w:trPr>
        <w:tc>
          <w:tcPr>
            <w:tcW w:type="dxa" w:w="2498"/>
            <w:vAlign w:val="center"/>
            <w:tcMar>
              <w:top w:w="85" w:type="dxa"/>
              <w:bottom w:w="85" w:type="dxa"/>
              <w:left w:w="95" w:type="dxa"/>
              <w:right w:w="95" w:type="dxa"/>
            </w:tcMar>
            <w:shd w:fill="F3F5F6"/>
          </w:tcPr>
          <w:p>
            <w:pPr>
              <w:pStyle w:val="TableText"/>
              <w:keepNext w:val="0"/>
              <w:keepLines/>
              <w:jc w:val="center"/>
            </w:pPr>
            <w:r>
              <w:rPr>
                <w:sz w:val="20"/>
              </w:rPr>
              <w:t>Mantle</w:t>
            </w:r>
          </w:p>
        </w:tc>
        <w:tc>
          <w:tcPr>
            <w:tcW w:type="dxa" w:w="3298"/>
            <w:vAlign w:val="center"/>
            <w:tcMar>
              <w:top w:w="85" w:type="dxa"/>
              <w:bottom w:w="85" w:type="dxa"/>
              <w:left w:w="95" w:type="dxa"/>
              <w:right w:w="95" w:type="dxa"/>
            </w:tcMar>
            <w:shd w:fill="F3F5F6"/>
          </w:tcPr>
          <w:p>
            <w:pPr>
              <w:pStyle w:val="TableText"/>
              <w:keepNext w:val="0"/>
              <w:keepLines/>
            </w:pPr>
            <w:r>
              <w:rPr>
                <w:sz w:val="20"/>
              </w:rPr>
              <w:t>Basalt, rust, ceramic white, limited molten orange</w:t>
            </w:r>
          </w:p>
        </w:tc>
        <w:tc>
          <w:tcPr>
            <w:tcW w:type="dxa" w:w="4197"/>
            <w:vAlign w:val="center"/>
            <w:tcMar>
              <w:top w:w="85" w:type="dxa"/>
              <w:bottom w:w="85" w:type="dxa"/>
              <w:left w:w="95" w:type="dxa"/>
              <w:right w:w="95" w:type="dxa"/>
            </w:tcMar>
            <w:shd w:fill="F3F5F6"/>
          </w:tcPr>
          <w:p>
            <w:pPr>
              <w:pStyle w:val="TableText"/>
              <w:keepNext w:val="0"/>
              <w:keepLines/>
            </w:pPr>
            <w:r>
              <w:rPr>
                <w:sz w:val="20"/>
              </w:rPr>
              <w:t>Heat has a source and a boundary; safe shelves remain visually distinct.</w:t>
            </w:r>
          </w:p>
        </w:tc>
      </w:tr>
      <w:tr>
        <w:trPr>
          <w:cantSplit/>
        </w:trPr>
        <w:tc>
          <w:tcPr>
            <w:tcW w:type="dxa" w:w="2498"/>
            <w:vAlign w:val="center"/>
            <w:tcMar>
              <w:top w:w="85" w:type="dxa"/>
              <w:bottom w:w="85" w:type="dxa"/>
              <w:left w:w="95" w:type="dxa"/>
              <w:right w:w="95" w:type="dxa"/>
            </w:tcMar>
            <w:shd w:fill="FFFFFF"/>
          </w:tcPr>
          <w:p>
            <w:pPr>
              <w:pStyle w:val="TableText"/>
              <w:keepNext w:val="0"/>
              <w:keepLines/>
              <w:jc w:val="center"/>
            </w:pPr>
            <w:r>
              <w:rPr>
                <w:sz w:val="20"/>
              </w:rPr>
              <w:t>Core</w:t>
            </w:r>
          </w:p>
        </w:tc>
        <w:tc>
          <w:tcPr>
            <w:tcW w:type="dxa" w:w="3298"/>
            <w:vAlign w:val="center"/>
            <w:tcMar>
              <w:top w:w="85" w:type="dxa"/>
              <w:bottom w:w="85" w:type="dxa"/>
              <w:left w:w="95" w:type="dxa"/>
              <w:right w:w="95" w:type="dxa"/>
            </w:tcMar>
            <w:shd w:fill="FFFFFF"/>
          </w:tcPr>
          <w:p>
            <w:pPr>
              <w:pStyle w:val="TableText"/>
              <w:keepNext w:val="0"/>
              <w:keepLines/>
            </w:pPr>
            <w:r>
              <w:rPr>
                <w:sz w:val="20"/>
              </w:rPr>
              <w:t>Dark glass, pale crystal, quiet water, rare warm internal planes</w:t>
            </w:r>
          </w:p>
        </w:tc>
        <w:tc>
          <w:tcPr>
            <w:tcW w:type="dxa" w:w="4197"/>
            <w:vAlign w:val="center"/>
            <w:tcMar>
              <w:top w:w="85" w:type="dxa"/>
              <w:bottom w:w="85" w:type="dxa"/>
              <w:left w:w="95" w:type="dxa"/>
              <w:right w:w="95" w:type="dxa"/>
            </w:tcMar>
            <w:shd w:fill="FFFFFF"/>
          </w:tcPr>
          <w:p>
            <w:pPr>
              <w:pStyle w:val="TableText"/>
              <w:keepNext w:val="0"/>
              <w:keepLines/>
            </w:pPr>
            <w:r>
              <w:rPr>
                <w:sz w:val="20"/>
              </w:rPr>
              <w:t>Extraordinary formations receive space and restraint rather than universal glow.</w:t>
            </w:r>
          </w:p>
        </w:tc>
      </w:tr>
    </w:tbl>
    <w:p>
      <w:pPr>
        <w:spacing w:after="0" w:before="0" w:line="60" w:lineRule="exact"/>
      </w:pPr>
      <w:r>
        <w:rPr>
          <w:sz w:val="6"/>
        </w:rPr>
      </w:r>
    </w:p>
    <w:p>
      <w:pPr/>
      <w:r>
        <w:t>Planetary palettes follow each destination profile. Reusing a resource or tool should preserve its visual identity under different lighting. A copper fitting remains recognizable in a lunar cabin and an Earth workshop. The same approach ties spacecraft and settlements into a coherent product.</w:t>
      </w:r>
    </w:p>
    <w:p>
      <w:pPr>
        <w:pStyle w:val="Heading2"/>
      </w:pPr>
      <w:r>
        <w:t>Required views for an environment</w:t>
      </w:r>
    </w:p>
    <w:p>
      <w:pPr/>
      <w:r>
        <w:t>Every Earth realm needs an establishing view, one separate view for each of its five named experiences, a refuge exterior, a useful interior, and a scene showing an expedition in progress. At least one view should include an ordinary player or recognizable object for scale. One of the experience views should deliberately show a quiet or domestic activity, where appropriate.</w:t>
      </w:r>
    </w:p>
    <w:p>
      <w:pPr/>
      <w:r>
        <w:t>Every playable celestial destination needs an arrival view, both a wide identity view and a closer activity view for every named surface or subsurface experience, an outpost exterior, an interior, and a practical fieldwork scene. A clearly separated plate can hold the paired regional views. A moon's orbital silhouette and a cave beneath its surface answer different questions and need distinct coverage. Gas giants can receive orbital and sky views without implying a solid landing surface.</w:t>
      </w:r>
    </w:p>
    <w:p>
      <w:pPr/>
      <w:r>
        <w:t>Transitions deserve their own treatment. The illustrated edition should show the Shallows becoming Deepwilds, Deepwilds giving way to more exposed Underreach, the approach to Abyss water or void, the first thermal margins, and the arrival in the Heart region. The goal is to explain natural overlap, not to draw flat stacked floors.</w:t>
      </w:r>
    </w:p>
    <w:p>
      <w:pPr/>
      <w:r>
        <w:t>Exact cross-sections, route maps, comparative scale sheets, UI layouts, and dependency diagrams should be drawn with conventional layout or diagram tools. Generated concept imagery supplies atmosphere and design exploration. It should not be trusted to label exact heights, draw accurate graph connections, count inventory items, or produce a functional interface.</w:t>
      </w:r>
    </w:p>
    <w:p>
      <w:pPr>
        <w:pStyle w:val="Heading2"/>
      </w:pPr>
      <w:r>
        <w:t>Required views for objects and structures</w:t>
      </w:r>
    </w:p>
    <w:p>
      <w:pPr/>
      <w:r>
        <w:t>Ore and material plates show the natural source, a recoverable sample, and the main processed appearance where relevant. A material may be covered by a clearly separated panel on a shared plate, provided it has an individual label and sufficient visual space. An indistinct pile containing several ores does not count as coverage of each material.</w:t>
      </w:r>
    </w:p>
    <w:p>
      <w:pPr/>
      <w:r>
        <w:t>Tool plates show the complete silhouette, grip or attachment, working surface, and relevant alternate state. Equipment worn by a player needs front and rear reference views. Devices with important indicators need separate state references. A functional action scene explains how the object is used in the environment.</w:t>
      </w:r>
    </w:p>
    <w:p>
      <w:pPr/>
      <w:r>
        <w:t>Creature sheets show scale, silhouette, ordinary posture, and the behavior that matters to play. Hostile or territorial behavior needs a distinct warning pose. Plants and fungal growth need source habitat, growth form, harvestable element, and cultivated form where applicable. These references should support later modelling rather than present only a dramatic portrait.</w:t>
      </w:r>
    </w:p>
    <w:p>
      <w:pPr/>
      <w:r>
        <w:t>Structure coverage shows the site before work, at least one understandable intermediate stage, and the functioning result. Interiors must connect to the exterior geometry and contain the services described in text. Spacecraft need exterior proportions, access, landing configuration, cockpit, occupied interior, cargo handling, and the main module relationships. Cutaways used to establish an exact layout belong to the drawn-reference set.</w:t>
      </w:r>
    </w:p>
    <w:p>
      <w:pPr>
        <w:pStyle w:val="Heading2"/>
      </w:pPr>
      <w:r>
        <w:t>Image identifiers and coverage rules</w:t>
      </w:r>
    </w:p>
    <w:p>
      <w:pPr/>
      <w:r>
        <w:t>The visual register uses stable content prefixes. EAR identifies Earth realms; DST identifies celestial destinations; HUL identifies representative spacecraft; MAT identifies Earth materials; PM identifies planetary materials; EQ identifies tools and equipment; TEC identifies installations; BIO and FL identify living content; ENC identifies major encounters; NPC identifies character roles; and UX identifies exact interface or information views.</w:t>
      </w:r>
    </w:p>
    <w:p>
      <w:pPr/>
      <w:r>
        <w:t>Image suffixes identify the view. H is an establishing image, V is a numbered experience variant, S is an exterior structure, I is an interior, A is an action scene, and X is an exact drawn reference. For example, EAR03 V04 depicts Bluefen Groves within the Deepwilds, while EAR03 I depicts a useful interior associated with the Deepwilds Conservatory. The identifier belongs in the caption and production record, not in generated scenery.</w:t>
      </w:r>
    </w:p>
    <w:p>
      <w:pPr/>
      <w:r>
        <w:t>The register is a coverage commitment for the illustrated edition, not a requirement to commission a separate file for every possible crop. A coherent plate can cover related views. Every named subject must remain individually findable, and a single image cannot silently stand in for several visibly different biomes or objects.</w:t>
      </w:r>
    </w:p>
    <w:p>
      <w:pPr>
        <w:pStyle w:val="Heading2"/>
      </w:pPr>
      <w:r>
        <w:t>Earth environment image register</w:t>
      </w:r>
    </w:p>
    <w:p>
      <w:pPr/>
      <w:r>
        <w:t>For every row below, create H, V01 through V05, S, I, and A coverage. Create a separate X sheet for the realm's intended shapes and route relationships when exact spatial explanation is needed. The five V images must depict different experiences rather than variations of one generic cave.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22"/>
        <w:gridCol w:w="2621"/>
        <w:gridCol w:w="3226"/>
        <w:gridCol w:w="3226"/>
      </w:tblGrid>
      <w:tr>
        <w:trPr>
          <w:cantSplit/>
          <w:tblHeader w:val="true"/>
        </w:trPr>
        <w:tc>
          <w:tcPr>
            <w:tcW w:type="dxa" w:w="922"/>
            <w:vAlign w:val="center"/>
            <w:tcMar>
              <w:top w:w="85" w:type="dxa"/>
              <w:bottom w:w="85" w:type="dxa"/>
              <w:left w:w="95" w:type="dxa"/>
              <w:right w:w="95" w:type="dxa"/>
            </w:tcMar>
            <w:shd w:fill="233544"/>
          </w:tcPr>
          <w:p>
            <w:pPr>
              <w:pStyle w:val="TableText"/>
              <w:keepNext w:val="0"/>
              <w:keepLines/>
              <w:jc w:val="center"/>
            </w:pPr>
            <w:r>
              <w:rPr>
                <w:b/>
                <w:color w:val="FFFFFF"/>
                <w:sz w:val="20"/>
              </w:rPr>
              <w:t>ID</w:t>
            </w:r>
          </w:p>
        </w:tc>
        <w:tc>
          <w:tcPr>
            <w:tcW w:type="dxa" w:w="2621"/>
            <w:vAlign w:val="center"/>
            <w:tcMar>
              <w:top w:w="85" w:type="dxa"/>
              <w:bottom w:w="85" w:type="dxa"/>
              <w:left w:w="95" w:type="dxa"/>
              <w:right w:w="95" w:type="dxa"/>
            </w:tcMar>
            <w:shd w:fill="233544"/>
          </w:tcPr>
          <w:p>
            <w:pPr>
              <w:pStyle w:val="TableText"/>
              <w:keepNext w:val="0"/>
              <w:keepLines/>
            </w:pPr>
            <w:r>
              <w:rPr>
                <w:b/>
                <w:color w:val="FFFFFF"/>
                <w:sz w:val="20"/>
              </w:rPr>
              <w:t>Realm</w:t>
            </w:r>
          </w:p>
        </w:tc>
        <w:tc>
          <w:tcPr>
            <w:tcW w:type="dxa" w:w="3226"/>
            <w:vAlign w:val="center"/>
            <w:tcMar>
              <w:top w:w="85" w:type="dxa"/>
              <w:bottom w:w="85" w:type="dxa"/>
              <w:left w:w="95" w:type="dxa"/>
              <w:right w:w="95" w:type="dxa"/>
            </w:tcMar>
            <w:shd w:fill="233544"/>
          </w:tcPr>
          <w:p>
            <w:pPr>
              <w:pStyle w:val="TableText"/>
              <w:keepNext w:val="0"/>
              <w:keepLines/>
            </w:pPr>
            <w:r>
              <w:rPr>
                <w:b/>
                <w:color w:val="FFFFFF"/>
                <w:sz w:val="20"/>
              </w:rPr>
              <w:t>V01 to V05 in order</w:t>
            </w:r>
          </w:p>
        </w:tc>
        <w:tc>
          <w:tcPr>
            <w:tcW w:type="dxa" w:w="3226"/>
            <w:vAlign w:val="center"/>
            <w:tcMar>
              <w:top w:w="85" w:type="dxa"/>
              <w:bottom w:w="85" w:type="dxa"/>
              <w:left w:w="95" w:type="dxa"/>
              <w:right w:w="95" w:type="dxa"/>
            </w:tcMar>
            <w:shd w:fill="233544"/>
          </w:tcPr>
          <w:p>
            <w:pPr>
              <w:pStyle w:val="TableText"/>
              <w:keepNext w:val="0"/>
              <w:keepLines/>
            </w:pPr>
            <w:r>
              <w:rPr>
                <w:b/>
                <w:color w:val="FFFFFF"/>
                <w:sz w:val="20"/>
              </w:rPr>
              <w:t>Refuge or settlement reference</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EAR01</w:t>
            </w:r>
          </w:p>
        </w:tc>
        <w:tc>
          <w:tcPr>
            <w:tcW w:type="dxa" w:w="2621"/>
            <w:vAlign w:val="center"/>
            <w:tcMar>
              <w:top w:w="85" w:type="dxa"/>
              <w:bottom w:w="85" w:type="dxa"/>
              <w:left w:w="95" w:type="dxa"/>
              <w:right w:w="95" w:type="dxa"/>
            </w:tcMar>
            <w:shd w:fill="FFFFFF"/>
          </w:tcPr>
          <w:p>
            <w:pPr>
              <w:pStyle w:val="TableText"/>
              <w:keepNext w:val="0"/>
              <w:keepLines/>
            </w:pPr>
            <w:r>
              <w:rPr>
                <w:sz w:val="20"/>
              </w:rPr>
              <w:t>Overworld</w:t>
            </w:r>
          </w:p>
        </w:tc>
        <w:tc>
          <w:tcPr>
            <w:tcW w:type="dxa" w:w="3226"/>
            <w:vAlign w:val="center"/>
            <w:tcMar>
              <w:top w:w="85" w:type="dxa"/>
              <w:bottom w:w="85" w:type="dxa"/>
              <w:left w:w="95" w:type="dxa"/>
              <w:right w:w="95" w:type="dxa"/>
            </w:tcMar>
            <w:shd w:fill="FFFFFF"/>
          </w:tcPr>
          <w:p>
            <w:pPr>
              <w:pStyle w:val="TableText"/>
              <w:keepNext w:val="0"/>
              <w:keepLines/>
            </w:pPr>
            <w:r>
              <w:rPr>
                <w:sz w:val="20"/>
              </w:rPr>
              <w:t>Bluewater Quarry Coast; Rooted Uplands; Rivergate Country; Windscar Heights; Rainwood Hollows</w:t>
            </w:r>
          </w:p>
        </w:tc>
        <w:tc>
          <w:tcPr>
            <w:tcW w:type="dxa" w:w="3226"/>
            <w:vAlign w:val="center"/>
            <w:tcMar>
              <w:top w:w="85" w:type="dxa"/>
              <w:bottom w:w="85" w:type="dxa"/>
              <w:left w:w="95" w:type="dxa"/>
              <w:right w:w="95" w:type="dxa"/>
            </w:tcMar>
            <w:shd w:fill="FFFFFF"/>
          </w:tcPr>
          <w:p>
            <w:pPr>
              <w:pStyle w:val="TableText"/>
              <w:keepNext w:val="0"/>
              <w:keepLines/>
            </w:pPr>
            <w:r>
              <w:rPr>
                <w:sz w:val="20"/>
              </w:rPr>
              <w:t>Optional Surface Expedition House after the first market; Old Valley guesthouse remains the opening home.</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EAR02</w:t>
            </w:r>
          </w:p>
        </w:tc>
        <w:tc>
          <w:tcPr>
            <w:tcW w:type="dxa" w:w="2621"/>
            <w:vAlign w:val="center"/>
            <w:tcMar>
              <w:top w:w="85" w:type="dxa"/>
              <w:bottom w:w="85" w:type="dxa"/>
              <w:left w:w="95" w:type="dxa"/>
              <w:right w:w="95" w:type="dxa"/>
            </w:tcMar>
            <w:shd w:fill="F3F5F6"/>
          </w:tcPr>
          <w:p>
            <w:pPr>
              <w:pStyle w:val="TableText"/>
              <w:keepNext w:val="0"/>
              <w:keepLines/>
            </w:pPr>
            <w:r>
              <w:rPr>
                <w:sz w:val="20"/>
              </w:rPr>
              <w:t>Shallows</w:t>
            </w:r>
          </w:p>
        </w:tc>
        <w:tc>
          <w:tcPr>
            <w:tcW w:type="dxa" w:w="3226"/>
            <w:vAlign w:val="center"/>
            <w:tcMar>
              <w:top w:w="85" w:type="dxa"/>
              <w:bottom w:w="85" w:type="dxa"/>
              <w:left w:w="95" w:type="dxa"/>
              <w:right w:w="95" w:type="dxa"/>
            </w:tcMar>
            <w:shd w:fill="F3F5F6"/>
          </w:tcPr>
          <w:p>
            <w:pPr>
              <w:pStyle w:val="TableText"/>
              <w:keepNext w:val="0"/>
              <w:keepLines/>
            </w:pPr>
            <w:r>
              <w:rPr>
                <w:sz w:val="20"/>
              </w:rPr>
              <w:t>Rootlace Galleries; Chalkstep Terraces; Copperwash Channels; Glasswell Pools; Drybell Vaults</w:t>
            </w:r>
          </w:p>
        </w:tc>
        <w:tc>
          <w:tcPr>
            <w:tcW w:type="dxa" w:w="3226"/>
            <w:vAlign w:val="center"/>
            <w:tcMar>
              <w:top w:w="85" w:type="dxa"/>
              <w:bottom w:w="85" w:type="dxa"/>
              <w:left w:w="95" w:type="dxa"/>
              <w:right w:w="95" w:type="dxa"/>
            </w:tcMar>
            <w:shd w:fill="F3F5F6"/>
          </w:tcPr>
          <w:p>
            <w:pPr>
              <w:pStyle w:val="TableText"/>
              <w:keepNext w:val="0"/>
              <w:keepLines/>
            </w:pPr>
            <w:r>
              <w:rPr>
                <w:sz w:val="20"/>
              </w:rPr>
              <w:t>Shallows Waystation.</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EAR03</w:t>
            </w:r>
          </w:p>
        </w:tc>
        <w:tc>
          <w:tcPr>
            <w:tcW w:type="dxa" w:w="2621"/>
            <w:vAlign w:val="center"/>
            <w:tcMar>
              <w:top w:w="85" w:type="dxa"/>
              <w:bottom w:w="85" w:type="dxa"/>
              <w:left w:w="95" w:type="dxa"/>
              <w:right w:w="95" w:type="dxa"/>
            </w:tcMar>
            <w:shd w:fill="FFFFFF"/>
          </w:tcPr>
          <w:p>
            <w:pPr>
              <w:pStyle w:val="TableText"/>
              <w:keepNext w:val="0"/>
              <w:keepLines/>
            </w:pPr>
            <w:r>
              <w:rPr>
                <w:sz w:val="20"/>
              </w:rPr>
              <w:t>Deepwilds</w:t>
            </w:r>
          </w:p>
        </w:tc>
        <w:tc>
          <w:tcPr>
            <w:tcW w:type="dxa" w:w="3226"/>
            <w:vAlign w:val="center"/>
            <w:tcMar>
              <w:top w:w="85" w:type="dxa"/>
              <w:bottom w:w="85" w:type="dxa"/>
              <w:left w:w="95" w:type="dxa"/>
              <w:right w:w="95" w:type="dxa"/>
            </w:tcMar>
            <w:shd w:fill="FFFFFF"/>
          </w:tcPr>
          <w:p>
            <w:pPr>
              <w:pStyle w:val="TableText"/>
              <w:keepNext w:val="0"/>
              <w:keepLines/>
            </w:pPr>
            <w:r>
              <w:rPr>
                <w:sz w:val="20"/>
              </w:rPr>
              <w:t>Lanternroot Forests; Sporemeadow Basins; Hanging Gardens; Bluefen Groves; Quietwood Hollows</w:t>
            </w:r>
          </w:p>
        </w:tc>
        <w:tc>
          <w:tcPr>
            <w:tcW w:type="dxa" w:w="3226"/>
            <w:vAlign w:val="center"/>
            <w:tcMar>
              <w:top w:w="85" w:type="dxa"/>
              <w:bottom w:w="85" w:type="dxa"/>
              <w:left w:w="95" w:type="dxa"/>
              <w:right w:w="95" w:type="dxa"/>
            </w:tcMar>
            <w:shd w:fill="FFFFFF"/>
          </w:tcPr>
          <w:p>
            <w:pPr>
              <w:pStyle w:val="TableText"/>
              <w:keepNext w:val="0"/>
              <w:keepLines/>
            </w:pPr>
            <w:r>
              <w:rPr>
                <w:sz w:val="20"/>
              </w:rPr>
              <w:t>Deepwilds Conservatory.</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EAR04</w:t>
            </w:r>
          </w:p>
        </w:tc>
        <w:tc>
          <w:tcPr>
            <w:tcW w:type="dxa" w:w="2621"/>
            <w:vAlign w:val="center"/>
            <w:tcMar>
              <w:top w:w="85" w:type="dxa"/>
              <w:bottom w:w="85" w:type="dxa"/>
              <w:left w:w="95" w:type="dxa"/>
              <w:right w:w="95" w:type="dxa"/>
            </w:tcMar>
            <w:shd w:fill="F3F5F6"/>
          </w:tcPr>
          <w:p>
            <w:pPr>
              <w:pStyle w:val="TableText"/>
              <w:keepNext w:val="0"/>
              <w:keepLines/>
            </w:pPr>
            <w:r>
              <w:rPr>
                <w:sz w:val="20"/>
              </w:rPr>
              <w:t>Underreach</w:t>
            </w:r>
          </w:p>
        </w:tc>
        <w:tc>
          <w:tcPr>
            <w:tcW w:type="dxa" w:w="3226"/>
            <w:vAlign w:val="center"/>
            <w:tcMar>
              <w:top w:w="85" w:type="dxa"/>
              <w:bottom w:w="85" w:type="dxa"/>
              <w:left w:w="95" w:type="dxa"/>
              <w:right w:w="95" w:type="dxa"/>
            </w:tcMar>
            <w:shd w:fill="F3F5F6"/>
          </w:tcPr>
          <w:p>
            <w:pPr>
              <w:pStyle w:val="TableText"/>
              <w:keepNext w:val="0"/>
              <w:keepLines/>
            </w:pPr>
            <w:r>
              <w:rPr>
                <w:sz w:val="20"/>
              </w:rPr>
              <w:t>Ironfold Ridges; Saltmirror Halls; Blackriver Galleries; Echoquartz Fields; Dustroad Expanse</w:t>
            </w:r>
          </w:p>
        </w:tc>
        <w:tc>
          <w:tcPr>
            <w:tcW w:type="dxa" w:w="3226"/>
            <w:vAlign w:val="center"/>
            <w:tcMar>
              <w:top w:w="85" w:type="dxa"/>
              <w:bottom w:w="85" w:type="dxa"/>
              <w:left w:w="95" w:type="dxa"/>
              <w:right w:w="95" w:type="dxa"/>
            </w:tcMar>
            <w:shd w:fill="F3F5F6"/>
          </w:tcPr>
          <w:p>
            <w:pPr>
              <w:pStyle w:val="TableText"/>
              <w:keepNext w:val="0"/>
              <w:keepLines/>
            </w:pPr>
            <w:r>
              <w:rPr>
                <w:sz w:val="20"/>
              </w:rPr>
              <w:t>Underreach Junction.</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EAR05</w:t>
            </w:r>
          </w:p>
        </w:tc>
        <w:tc>
          <w:tcPr>
            <w:tcW w:type="dxa" w:w="2621"/>
            <w:vAlign w:val="center"/>
            <w:tcMar>
              <w:top w:w="85" w:type="dxa"/>
              <w:bottom w:w="85" w:type="dxa"/>
              <w:left w:w="95" w:type="dxa"/>
              <w:right w:w="95" w:type="dxa"/>
            </w:tcMar>
            <w:shd w:fill="FFFFFF"/>
          </w:tcPr>
          <w:p>
            <w:pPr>
              <w:pStyle w:val="TableText"/>
              <w:keepNext w:val="0"/>
              <w:keepLines/>
            </w:pPr>
            <w:r>
              <w:rPr>
                <w:sz w:val="20"/>
              </w:rPr>
              <w:t>Abyss</w:t>
            </w:r>
          </w:p>
        </w:tc>
        <w:tc>
          <w:tcPr>
            <w:tcW w:type="dxa" w:w="3226"/>
            <w:vAlign w:val="center"/>
            <w:tcMar>
              <w:top w:w="85" w:type="dxa"/>
              <w:bottom w:w="85" w:type="dxa"/>
              <w:left w:w="95" w:type="dxa"/>
              <w:right w:w="95" w:type="dxa"/>
            </w:tcMar>
            <w:shd w:fill="FFFFFF"/>
          </w:tcPr>
          <w:p>
            <w:pPr>
              <w:pStyle w:val="TableText"/>
              <w:keepNext w:val="0"/>
              <w:keepLines/>
            </w:pPr>
            <w:r>
              <w:rPr>
                <w:sz w:val="20"/>
              </w:rPr>
              <w:t>Pillarfall Reaches; Stillsea Basin; Moonmilk Shelves; Whisper Chasms; Drowned Stair Country</w:t>
            </w:r>
          </w:p>
        </w:tc>
        <w:tc>
          <w:tcPr>
            <w:tcW w:type="dxa" w:w="3226"/>
            <w:vAlign w:val="center"/>
            <w:tcMar>
              <w:top w:w="85" w:type="dxa"/>
              <w:bottom w:w="85" w:type="dxa"/>
              <w:left w:w="95" w:type="dxa"/>
              <w:right w:w="95" w:type="dxa"/>
            </w:tcMar>
            <w:shd w:fill="FFFFFF"/>
          </w:tcPr>
          <w:p>
            <w:pPr>
              <w:pStyle w:val="TableText"/>
              <w:keepNext w:val="0"/>
              <w:keepLines/>
            </w:pPr>
            <w:r>
              <w:rPr>
                <w:sz w:val="20"/>
              </w:rPr>
              <w:t>Abyss Beacon Refuge.</w:t>
            </w:r>
          </w:p>
        </w:tc>
      </w:tr>
      <w:tr>
        <w:trPr>
          <w:cantSplit/>
        </w:trPr>
        <w:tc>
          <w:tcPr>
            <w:tcW w:type="dxa" w:w="922"/>
            <w:vAlign w:val="center"/>
            <w:tcMar>
              <w:top w:w="85" w:type="dxa"/>
              <w:bottom w:w="85" w:type="dxa"/>
              <w:left w:w="95" w:type="dxa"/>
              <w:right w:w="95" w:type="dxa"/>
            </w:tcMar>
            <w:shd w:fill="F3F5F6"/>
          </w:tcPr>
          <w:p>
            <w:pPr>
              <w:pStyle w:val="TableText"/>
              <w:keepNext w:val="0"/>
              <w:keepLines/>
              <w:jc w:val="center"/>
            </w:pPr>
            <w:r>
              <w:rPr>
                <w:sz w:val="20"/>
              </w:rPr>
              <w:t>EAR06</w:t>
            </w:r>
          </w:p>
        </w:tc>
        <w:tc>
          <w:tcPr>
            <w:tcW w:type="dxa" w:w="2621"/>
            <w:vAlign w:val="center"/>
            <w:tcMar>
              <w:top w:w="85" w:type="dxa"/>
              <w:bottom w:w="85" w:type="dxa"/>
              <w:left w:w="95" w:type="dxa"/>
              <w:right w:w="95" w:type="dxa"/>
            </w:tcMar>
            <w:shd w:fill="F3F5F6"/>
          </w:tcPr>
          <w:p>
            <w:pPr>
              <w:pStyle w:val="TableText"/>
              <w:keepNext w:val="0"/>
              <w:keepLines/>
            </w:pPr>
            <w:r>
              <w:rPr>
                <w:sz w:val="20"/>
              </w:rPr>
              <w:t>Mantle</w:t>
            </w:r>
          </w:p>
        </w:tc>
        <w:tc>
          <w:tcPr>
            <w:tcW w:type="dxa" w:w="3226"/>
            <w:vAlign w:val="center"/>
            <w:tcMar>
              <w:top w:w="85" w:type="dxa"/>
              <w:bottom w:w="85" w:type="dxa"/>
              <w:left w:w="95" w:type="dxa"/>
              <w:right w:w="95" w:type="dxa"/>
            </w:tcMar>
            <w:shd w:fill="F3F5F6"/>
          </w:tcPr>
          <w:p>
            <w:pPr>
              <w:pStyle w:val="TableText"/>
              <w:keepNext w:val="0"/>
              <w:keepLines/>
            </w:pPr>
            <w:r>
              <w:rPr>
                <w:sz w:val="20"/>
              </w:rPr>
              <w:t>Basalt Steps; Ember Gardens; Ashen Hollows; Redglass Margins; Steamvaults</w:t>
            </w:r>
          </w:p>
        </w:tc>
        <w:tc>
          <w:tcPr>
            <w:tcW w:type="dxa" w:w="3226"/>
            <w:vAlign w:val="center"/>
            <w:tcMar>
              <w:top w:w="85" w:type="dxa"/>
              <w:bottom w:w="85" w:type="dxa"/>
              <w:left w:w="95" w:type="dxa"/>
              <w:right w:w="95" w:type="dxa"/>
            </w:tcMar>
            <w:shd w:fill="F3F5F6"/>
          </w:tcPr>
          <w:p>
            <w:pPr>
              <w:pStyle w:val="TableText"/>
              <w:keepNext w:val="0"/>
              <w:keepLines/>
            </w:pPr>
            <w:r>
              <w:rPr>
                <w:sz w:val="20"/>
              </w:rPr>
              <w:t>Mantle Works.</w:t>
            </w:r>
          </w:p>
        </w:tc>
      </w:tr>
      <w:tr>
        <w:trPr>
          <w:cantSplit/>
        </w:trPr>
        <w:tc>
          <w:tcPr>
            <w:tcW w:type="dxa" w:w="922"/>
            <w:vAlign w:val="center"/>
            <w:tcMar>
              <w:top w:w="85" w:type="dxa"/>
              <w:bottom w:w="85" w:type="dxa"/>
              <w:left w:w="95" w:type="dxa"/>
              <w:right w:w="95" w:type="dxa"/>
            </w:tcMar>
            <w:shd w:fill="FFFFFF"/>
          </w:tcPr>
          <w:p>
            <w:pPr>
              <w:pStyle w:val="TableText"/>
              <w:keepNext w:val="0"/>
              <w:keepLines/>
              <w:jc w:val="center"/>
            </w:pPr>
            <w:r>
              <w:rPr>
                <w:sz w:val="20"/>
              </w:rPr>
              <w:t>EAR07</w:t>
            </w:r>
          </w:p>
        </w:tc>
        <w:tc>
          <w:tcPr>
            <w:tcW w:type="dxa" w:w="2621"/>
            <w:vAlign w:val="center"/>
            <w:tcMar>
              <w:top w:w="85" w:type="dxa"/>
              <w:bottom w:w="85" w:type="dxa"/>
              <w:left w:w="95" w:type="dxa"/>
              <w:right w:w="95" w:type="dxa"/>
            </w:tcMar>
            <w:shd w:fill="FFFFFF"/>
          </w:tcPr>
          <w:p>
            <w:pPr>
              <w:pStyle w:val="TableText"/>
              <w:keepNext w:val="0"/>
              <w:keepLines/>
            </w:pPr>
            <w:r>
              <w:rPr>
                <w:sz w:val="20"/>
              </w:rPr>
              <w:t>Core</w:t>
            </w:r>
          </w:p>
        </w:tc>
        <w:tc>
          <w:tcPr>
            <w:tcW w:type="dxa" w:w="3226"/>
            <w:vAlign w:val="center"/>
            <w:tcMar>
              <w:top w:w="85" w:type="dxa"/>
              <w:bottom w:w="85" w:type="dxa"/>
              <w:left w:w="95" w:type="dxa"/>
              <w:right w:w="95" w:type="dxa"/>
            </w:tcMar>
            <w:shd w:fill="FFFFFF"/>
          </w:tcPr>
          <w:p>
            <w:pPr>
              <w:pStyle w:val="TableText"/>
              <w:keepNext w:val="0"/>
              <w:keepLines/>
            </w:pPr>
            <w:r>
              <w:rPr>
                <w:sz w:val="20"/>
              </w:rPr>
              <w:t>Heartglass Groves; Pale Resonance Fields; Stillwater Sanctuaries; Blackroot Islands; The Heart Chamber</w:t>
            </w:r>
          </w:p>
        </w:tc>
        <w:tc>
          <w:tcPr>
            <w:tcW w:type="dxa" w:w="3226"/>
            <w:vAlign w:val="center"/>
            <w:tcMar>
              <w:top w:w="85" w:type="dxa"/>
              <w:bottom w:w="85" w:type="dxa"/>
              <w:left w:w="95" w:type="dxa"/>
              <w:right w:w="95" w:type="dxa"/>
            </w:tcMar>
            <w:shd w:fill="FFFFFF"/>
          </w:tcPr>
          <w:p>
            <w:pPr>
              <w:pStyle w:val="TableText"/>
              <w:keepNext w:val="0"/>
              <w:keepLines/>
            </w:pPr>
            <w:r>
              <w:rPr>
                <w:sz w:val="20"/>
              </w:rPr>
              <w:t>Heart Observatory.</w:t>
            </w:r>
          </w:p>
        </w:tc>
      </w:tr>
    </w:tbl>
    <w:p>
      <w:pPr>
        <w:spacing w:after="0" w:before="0" w:line="60" w:lineRule="exact"/>
      </w:pPr>
      <w:r>
        <w:rPr>
          <w:sz w:val="6"/>
        </w:rPr>
      </w:r>
    </w:p>
    <w:p>
      <w:pPr/>
      <w:r>
        <w:t>Earth transition subjects are the quarry opening into the Shallows; the first living cavern beyond a repaired waterway; the forest thinning into Underreach rock; a working route reaching the Abyss; water terraces giving way to thermal margins; and the approach from Mantle to the quieter Heart environment. Each should show traits from both sides and a navigable route.</w:t>
      </w:r>
    </w:p>
    <w:p>
      <w:pPr>
        <w:pStyle w:val="Heading2"/>
      </w:pPr>
      <w:r>
        <w:t>Cosmic visual commissioning register</w:t>
      </w:r>
    </w:p>
    <w:p>
      <w:pPr/>
      <w:r>
        <w:t>This register covers every named planetary region, hull, support vehicle, and supplementary living or equipment family. Production follows confirmation of the text direction. The destination profiles define the intended activities and conditions.</w:t>
      </w:r>
    </w:p>
    <w:p>
      <w:pPr/>
      <w:r>
        <w:t xml:space="preserve">Each destination entry has a stable destination ID and retains its existing regional reference. For every regional subject below, commission </w:t>
      </w:r>
      <w:r>
        <w:rPr>
          <w:b/>
        </w:rPr>
        <w:t>-W</w:t>
      </w:r>
      <w:r>
        <w:t xml:space="preserve"> for the wide identity image and </w:t>
      </w:r>
      <w:r>
        <w:rPr>
          <w:b/>
        </w:rPr>
        <w:t>-A</w:t>
      </w:r>
      <w:r>
        <w:t xml:space="preserve"> for a distinct activity image. For example, </w:t>
      </w:r>
      <w:r>
        <w:rPr>
          <w:b/>
        </w:rPr>
        <w:t>DST01-MO-S1-W</w:t>
      </w:r>
      <w:r>
        <w:t xml:space="preserve"> is the Earthrise Rim panorama; </w:t>
      </w:r>
      <w:r>
        <w:rPr>
          <w:b/>
        </w:rPr>
        <w:t>DST01-MO-S1-A</w:t>
      </w:r>
      <w:r>
        <w:t xml:space="preserve"> is the first-landing activity. These suffixes create separate image subjects, not alternative names for one image. Composition, scale cues, geology, lighting, equipment, and fictional ecology should agree across a region's views.</w:t>
      </w:r>
    </w:p>
    <w:p>
      <w:pPr>
        <w:pStyle w:val="Heading3"/>
      </w:pPr>
      <w:r>
        <w:t>Destination regions 38 named subjects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1829"/>
        <w:gridCol w:w="2448"/>
        <w:gridCol w:w="5717"/>
      </w:tblGrid>
      <w:tr>
        <w:trPr>
          <w:cantSplit/>
          <w:tblHeader w:val="true"/>
        </w:trPr>
        <w:tc>
          <w:tcPr>
            <w:tcW w:type="dxa" w:w="1829"/>
            <w:vAlign w:val="center"/>
            <w:tcMar>
              <w:top w:w="85" w:type="dxa"/>
              <w:bottom w:w="85" w:type="dxa"/>
              <w:left w:w="95" w:type="dxa"/>
              <w:right w:w="95" w:type="dxa"/>
            </w:tcMar>
            <w:shd w:fill="233544"/>
          </w:tcPr>
          <w:p>
            <w:pPr>
              <w:pStyle w:val="TableText"/>
              <w:keepNext w:val="0"/>
              <w:keepLines/>
            </w:pPr>
            <w:r>
              <w:rPr>
                <w:b/>
                <w:color w:val="FFFFFF"/>
                <w:sz w:val="20"/>
              </w:rPr>
              <w:t>Destination / region reference</w:t>
            </w:r>
          </w:p>
        </w:tc>
        <w:tc>
          <w:tcPr>
            <w:tcW w:type="dxa" w:w="2448"/>
            <w:vAlign w:val="center"/>
            <w:tcMar>
              <w:top w:w="85" w:type="dxa"/>
              <w:bottom w:w="85" w:type="dxa"/>
              <w:left w:w="95" w:type="dxa"/>
              <w:right w:w="95" w:type="dxa"/>
            </w:tcMar>
            <w:shd w:fill="233544"/>
          </w:tcPr>
          <w:p>
            <w:pPr>
              <w:pStyle w:val="TableText"/>
              <w:keepNext w:val="0"/>
              <w:keepLines/>
            </w:pPr>
            <w:r>
              <w:rPr>
                <w:b/>
                <w:color w:val="FFFFFF"/>
                <w:sz w:val="20"/>
              </w:rPr>
              <w:t>Exact named subject</w:t>
            </w:r>
          </w:p>
        </w:tc>
        <w:tc>
          <w:tcPr>
            <w:tcW w:type="dxa" w:w="5717"/>
            <w:vAlign w:val="center"/>
            <w:tcMar>
              <w:top w:w="85" w:type="dxa"/>
              <w:bottom w:w="85" w:type="dxa"/>
              <w:left w:w="95" w:type="dxa"/>
              <w:right w:w="95" w:type="dxa"/>
            </w:tcMar>
            <w:shd w:fill="233544"/>
          </w:tcPr>
          <w:p>
            <w:pPr>
              <w:pStyle w:val="TableText"/>
              <w:keepNext w:val="0"/>
              <w:keepLines/>
            </w:pPr>
            <w:r>
              <w:rPr>
                <w:b/>
                <w:color w:val="FFFFFF"/>
                <w:sz w:val="20"/>
              </w:rPr>
              <w:t>Wide identity / distinct activity</w:t>
            </w:r>
          </w:p>
        </w:tc>
      </w:tr>
      <w:tr>
        <w:trPr>
          <w:cantSplit/>
        </w:trPr>
        <w:tc>
          <w:tcPr>
            <w:tcW w:type="dxa" w:w="1829"/>
            <w:vAlign w:val="center"/>
            <w:tcMar>
              <w:top w:w="85" w:type="dxa"/>
              <w:bottom w:w="85" w:type="dxa"/>
              <w:left w:w="95" w:type="dxa"/>
              <w:right w:w="95" w:type="dxa"/>
            </w:tcMar>
            <w:shd w:fill="FFFFFF"/>
          </w:tcPr>
          <w:p>
            <w:pPr>
              <w:pStyle w:val="TableText"/>
              <w:keepNext w:val="0"/>
              <w:keepLines/>
              <w:jc w:val="center"/>
            </w:pPr>
            <w:r>
              <w:rPr>
                <w:sz w:val="20"/>
              </w:rPr>
              <w:t>DST01 / MO-S1</w:t>
            </w:r>
          </w:p>
        </w:tc>
        <w:tc>
          <w:tcPr>
            <w:tcW w:type="dxa" w:w="2448"/>
            <w:vAlign w:val="center"/>
            <w:tcMar>
              <w:top w:w="85" w:type="dxa"/>
              <w:bottom w:w="85" w:type="dxa"/>
              <w:left w:w="95" w:type="dxa"/>
              <w:right w:w="95" w:type="dxa"/>
            </w:tcMar>
            <w:shd w:fill="FFFFFF"/>
          </w:tcPr>
          <w:p>
            <w:pPr>
              <w:pStyle w:val="TableText"/>
              <w:keepNext w:val="0"/>
              <w:keepLines/>
            </w:pPr>
            <w:r>
              <w:rPr>
                <w:sz w:val="20"/>
              </w:rPr>
              <w:t>Earthrise Rim</w:t>
            </w:r>
          </w:p>
        </w:tc>
        <w:tc>
          <w:tcPr>
            <w:tcW w:type="dxa" w:w="5717"/>
            <w:vAlign w:val="center"/>
            <w:tcMar>
              <w:top w:w="85" w:type="dxa"/>
              <w:bottom w:w="85" w:type="dxa"/>
              <w:left w:w="95" w:type="dxa"/>
              <w:right w:w="95" w:type="dxa"/>
            </w:tcMar>
            <w:shd w:fill="FFFFFF"/>
          </w:tcPr>
          <w:p>
            <w:pPr>
              <w:pStyle w:val="TableText"/>
              <w:keepNext w:val="0"/>
              <w:keepLines/>
            </w:pPr>
            <w:r>
              <w:rPr>
                <w:sz w:val="20"/>
              </w:rPr>
              <w:t>Earth above crater rim / first lander refuge deployment</w:t>
            </w:r>
          </w:p>
        </w:tc>
      </w:tr>
      <w:tr>
        <w:trPr>
          <w:cantSplit/>
        </w:trPr>
        <w:tc>
          <w:tcPr>
            <w:tcW w:type="dxa" w:w="1829"/>
            <w:vAlign w:val="center"/>
            <w:tcMar>
              <w:top w:w="85" w:type="dxa"/>
              <w:bottom w:w="85" w:type="dxa"/>
              <w:left w:w="95" w:type="dxa"/>
              <w:right w:w="95" w:type="dxa"/>
            </w:tcMar>
            <w:shd w:fill="F3F5F6"/>
          </w:tcPr>
          <w:p>
            <w:pPr>
              <w:pStyle w:val="TableText"/>
              <w:keepNext w:val="0"/>
              <w:keepLines/>
              <w:jc w:val="center"/>
            </w:pPr>
            <w:r>
              <w:rPr>
                <w:sz w:val="20"/>
              </w:rPr>
              <w:t>DST01 / MO-S2</w:t>
            </w:r>
          </w:p>
        </w:tc>
        <w:tc>
          <w:tcPr>
            <w:tcW w:type="dxa" w:w="2448"/>
            <w:vAlign w:val="center"/>
            <w:tcMar>
              <w:top w:w="85" w:type="dxa"/>
              <w:bottom w:w="85" w:type="dxa"/>
              <w:left w:w="95" w:type="dxa"/>
              <w:right w:w="95" w:type="dxa"/>
            </w:tcMar>
            <w:shd w:fill="F3F5F6"/>
          </w:tcPr>
          <w:p>
            <w:pPr>
              <w:pStyle w:val="TableText"/>
              <w:keepNext w:val="0"/>
              <w:keepLines/>
            </w:pPr>
            <w:r>
              <w:rPr>
                <w:sz w:val="20"/>
              </w:rPr>
              <w:t>Shadow Basin</w:t>
            </w:r>
          </w:p>
        </w:tc>
        <w:tc>
          <w:tcPr>
            <w:tcW w:type="dxa" w:w="5717"/>
            <w:vAlign w:val="center"/>
            <w:tcMar>
              <w:top w:w="85" w:type="dxa"/>
              <w:bottom w:w="85" w:type="dxa"/>
              <w:left w:w="95" w:type="dxa"/>
              <w:right w:w="95" w:type="dxa"/>
            </w:tcMar>
            <w:shd w:fill="F3F5F6"/>
          </w:tcPr>
          <w:p>
            <w:pPr>
              <w:pStyle w:val="TableText"/>
              <w:keepNext w:val="0"/>
              <w:keepLines/>
            </w:pPr>
            <w:r>
              <w:rPr>
                <w:sz w:val="20"/>
              </w:rPr>
              <w:t>Dark crater shelves / illuminated marker-and-tether route</w:t>
            </w:r>
          </w:p>
        </w:tc>
      </w:tr>
      <w:tr>
        <w:trPr>
          <w:cantSplit/>
        </w:trPr>
        <w:tc>
          <w:tcPr>
            <w:tcW w:type="dxa" w:w="1829"/>
            <w:vAlign w:val="center"/>
            <w:tcMar>
              <w:top w:w="85" w:type="dxa"/>
              <w:bottom w:w="85" w:type="dxa"/>
              <w:left w:w="95" w:type="dxa"/>
              <w:right w:w="95" w:type="dxa"/>
            </w:tcMar>
            <w:shd w:fill="FFFFFF"/>
          </w:tcPr>
          <w:p>
            <w:pPr>
              <w:pStyle w:val="TableText"/>
              <w:keepNext w:val="0"/>
              <w:keepLines/>
              <w:jc w:val="center"/>
            </w:pPr>
            <w:r>
              <w:rPr>
                <w:sz w:val="20"/>
              </w:rPr>
              <w:t>DST01 / MO-L1</w:t>
            </w:r>
          </w:p>
        </w:tc>
        <w:tc>
          <w:tcPr>
            <w:tcW w:type="dxa" w:w="2448"/>
            <w:vAlign w:val="center"/>
            <w:tcMar>
              <w:top w:w="85" w:type="dxa"/>
              <w:bottom w:w="85" w:type="dxa"/>
              <w:left w:w="95" w:type="dxa"/>
              <w:right w:w="95" w:type="dxa"/>
            </w:tcMar>
            <w:shd w:fill="FFFFFF"/>
          </w:tcPr>
          <w:p>
            <w:pPr>
              <w:pStyle w:val="TableText"/>
              <w:keepNext w:val="0"/>
              <w:keepLines/>
            </w:pPr>
            <w:r>
              <w:rPr>
                <w:sz w:val="20"/>
              </w:rPr>
              <w:t>Regolith Hollows</w:t>
            </w:r>
          </w:p>
        </w:tc>
        <w:tc>
          <w:tcPr>
            <w:tcW w:type="dxa" w:w="5717"/>
            <w:vAlign w:val="center"/>
            <w:tcMar>
              <w:top w:w="85" w:type="dxa"/>
              <w:bottom w:w="85" w:type="dxa"/>
              <w:left w:w="95" w:type="dxa"/>
              <w:right w:w="95" w:type="dxa"/>
            </w:tcMar>
            <w:shd w:fill="FFFFFF"/>
          </w:tcPr>
          <w:p>
            <w:pPr>
              <w:pStyle w:val="TableText"/>
              <w:keepNext w:val="0"/>
              <w:keepLines/>
            </w:pPr>
            <w:r>
              <w:rPr>
                <w:sz w:val="20"/>
              </w:rPr>
              <w:t>Tight dust-and-fracture cavities / braced extraction beside a small void</w:t>
            </w:r>
          </w:p>
        </w:tc>
      </w:tr>
      <w:tr>
        <w:trPr>
          <w:cantSplit/>
        </w:trPr>
        <w:tc>
          <w:tcPr>
            <w:tcW w:type="dxa" w:w="1829"/>
            <w:vAlign w:val="center"/>
            <w:tcMar>
              <w:top w:w="85" w:type="dxa"/>
              <w:bottom w:w="85" w:type="dxa"/>
              <w:left w:w="95" w:type="dxa"/>
              <w:right w:w="95" w:type="dxa"/>
            </w:tcMar>
            <w:shd w:fill="F3F5F6"/>
          </w:tcPr>
          <w:p>
            <w:pPr>
              <w:pStyle w:val="TableText"/>
              <w:keepNext w:val="0"/>
              <w:keepLines/>
              <w:jc w:val="center"/>
            </w:pPr>
            <w:r>
              <w:rPr>
                <w:sz w:val="20"/>
              </w:rPr>
              <w:t>DST01 / MO-L2</w:t>
            </w:r>
          </w:p>
        </w:tc>
        <w:tc>
          <w:tcPr>
            <w:tcW w:type="dxa" w:w="2448"/>
            <w:vAlign w:val="center"/>
            <w:tcMar>
              <w:top w:w="85" w:type="dxa"/>
              <w:bottom w:w="85" w:type="dxa"/>
              <w:left w:w="95" w:type="dxa"/>
              <w:right w:w="95" w:type="dxa"/>
            </w:tcMar>
            <w:shd w:fill="F3F5F6"/>
          </w:tcPr>
          <w:p>
            <w:pPr>
              <w:pStyle w:val="TableText"/>
              <w:keepNext w:val="0"/>
              <w:keepLines/>
            </w:pPr>
            <w:r>
              <w:rPr>
                <w:sz w:val="20"/>
              </w:rPr>
              <w:t>Basalt Galleries</w:t>
            </w:r>
          </w:p>
        </w:tc>
        <w:tc>
          <w:tcPr>
            <w:tcW w:type="dxa" w:w="5717"/>
            <w:vAlign w:val="center"/>
            <w:tcMar>
              <w:top w:w="85" w:type="dxa"/>
              <w:bottom w:w="85" w:type="dxa"/>
              <w:left w:w="95" w:type="dxa"/>
              <w:right w:w="95" w:type="dxa"/>
            </w:tcMar>
            <w:shd w:fill="F3F5F6"/>
          </w:tcPr>
          <w:p>
            <w:pPr>
              <w:pStyle w:val="TableText"/>
              <w:keepNext w:val="0"/>
              <w:keepLines/>
            </w:pPr>
            <w:r>
              <w:rPr>
                <w:sz w:val="20"/>
              </w:rPr>
              <w:t>Immense sweeping tube / pressurized gallery habitat construction</w:t>
            </w:r>
          </w:p>
        </w:tc>
      </w:tr>
      <w:tr>
        <w:trPr>
          <w:cantSplit/>
        </w:trPr>
        <w:tc>
          <w:tcPr>
            <w:tcW w:type="dxa" w:w="1829"/>
            <w:vAlign w:val="center"/>
            <w:tcMar>
              <w:top w:w="85" w:type="dxa"/>
              <w:bottom w:w="85" w:type="dxa"/>
              <w:left w:w="95" w:type="dxa"/>
              <w:right w:w="95" w:type="dxa"/>
            </w:tcMar>
            <w:shd w:fill="FFFFFF"/>
          </w:tcPr>
          <w:p>
            <w:pPr>
              <w:pStyle w:val="TableText"/>
              <w:keepNext w:val="0"/>
              <w:keepLines/>
              <w:jc w:val="center"/>
            </w:pPr>
            <w:r>
              <w:rPr>
                <w:sz w:val="20"/>
              </w:rPr>
              <w:t>DST01 / MO-L3</w:t>
            </w:r>
          </w:p>
        </w:tc>
        <w:tc>
          <w:tcPr>
            <w:tcW w:type="dxa" w:w="2448"/>
            <w:vAlign w:val="center"/>
            <w:tcMar>
              <w:top w:w="85" w:type="dxa"/>
              <w:bottom w:w="85" w:type="dxa"/>
              <w:left w:w="95" w:type="dxa"/>
              <w:right w:w="95" w:type="dxa"/>
            </w:tcMar>
            <w:shd w:fill="FFFFFF"/>
          </w:tcPr>
          <w:p>
            <w:pPr>
              <w:pStyle w:val="TableText"/>
              <w:keepNext w:val="0"/>
              <w:keepLines/>
            </w:pPr>
            <w:r>
              <w:rPr>
                <w:sz w:val="20"/>
              </w:rPr>
              <w:t>Glassfall Vaults</w:t>
            </w:r>
          </w:p>
        </w:tc>
        <w:tc>
          <w:tcPr>
            <w:tcW w:type="dxa" w:w="5717"/>
            <w:vAlign w:val="center"/>
            <w:tcMar>
              <w:top w:w="85" w:type="dxa"/>
              <w:bottom w:w="85" w:type="dxa"/>
              <w:left w:w="95" w:type="dxa"/>
              <w:right w:w="95" w:type="dxa"/>
            </w:tcMar>
            <w:shd w:fill="FFFFFF"/>
          </w:tcPr>
          <w:p>
            <w:pPr>
              <w:pStyle w:val="TableText"/>
              <w:keepNext w:val="0"/>
              <w:keepLines/>
            </w:pPr>
            <w:r>
              <w:rPr>
                <w:sz w:val="20"/>
              </w:rPr>
              <w:t>Polished fractures and hanging glass / careful ledge sampling</w:t>
            </w:r>
          </w:p>
        </w:tc>
      </w:tr>
      <w:tr>
        <w:trPr>
          <w:cantSplit/>
        </w:trPr>
        <w:tc>
          <w:tcPr>
            <w:tcW w:type="dxa" w:w="1829"/>
            <w:vAlign w:val="center"/>
            <w:tcMar>
              <w:top w:w="85" w:type="dxa"/>
              <w:bottom w:w="85" w:type="dxa"/>
              <w:left w:w="95" w:type="dxa"/>
              <w:right w:w="95" w:type="dxa"/>
            </w:tcMar>
            <w:shd w:fill="F3F5F6"/>
          </w:tcPr>
          <w:p>
            <w:pPr>
              <w:pStyle w:val="TableText"/>
              <w:keepNext w:val="0"/>
              <w:keepLines/>
              <w:jc w:val="center"/>
            </w:pPr>
            <w:r>
              <w:rPr>
                <w:sz w:val="20"/>
              </w:rPr>
              <w:t>DST02 / MA-S1</w:t>
            </w:r>
          </w:p>
        </w:tc>
        <w:tc>
          <w:tcPr>
            <w:tcW w:type="dxa" w:w="2448"/>
            <w:vAlign w:val="center"/>
            <w:tcMar>
              <w:top w:w="85" w:type="dxa"/>
              <w:bottom w:w="85" w:type="dxa"/>
              <w:left w:w="95" w:type="dxa"/>
              <w:right w:w="95" w:type="dxa"/>
            </w:tcMar>
            <w:shd w:fill="F3F5F6"/>
          </w:tcPr>
          <w:p>
            <w:pPr>
              <w:pStyle w:val="TableText"/>
              <w:keepNext w:val="0"/>
              <w:keepLines/>
            </w:pPr>
            <w:r>
              <w:rPr>
                <w:sz w:val="20"/>
              </w:rPr>
              <w:t>Windcut Tablelands</w:t>
            </w:r>
          </w:p>
        </w:tc>
        <w:tc>
          <w:tcPr>
            <w:tcW w:type="dxa" w:w="5717"/>
            <w:vAlign w:val="center"/>
            <w:tcMar>
              <w:top w:w="85" w:type="dxa"/>
              <w:bottom w:w="85" w:type="dxa"/>
              <w:left w:w="95" w:type="dxa"/>
              <w:right w:w="95" w:type="dxa"/>
            </w:tcMar>
            <w:shd w:fill="F3F5F6"/>
          </w:tcPr>
          <w:p>
            <w:pPr>
              <w:pStyle w:val="TableText"/>
              <w:keepNext w:val="0"/>
              <w:keepLines/>
            </w:pPr>
            <w:r>
              <w:rPr>
                <w:sz w:val="20"/>
              </w:rPr>
              <w:t>Terraced escarpments / rover convoy approaching a shelter</w:t>
            </w:r>
          </w:p>
        </w:tc>
      </w:tr>
      <w:tr>
        <w:trPr>
          <w:cantSplit/>
        </w:trPr>
        <w:tc>
          <w:tcPr>
            <w:tcW w:type="dxa" w:w="1829"/>
            <w:vAlign w:val="center"/>
            <w:tcMar>
              <w:top w:w="85" w:type="dxa"/>
              <w:bottom w:w="85" w:type="dxa"/>
              <w:left w:w="95" w:type="dxa"/>
              <w:right w:w="95" w:type="dxa"/>
            </w:tcMar>
            <w:shd w:fill="FFFFFF"/>
          </w:tcPr>
          <w:p>
            <w:pPr>
              <w:pStyle w:val="TableText"/>
              <w:keepNext w:val="0"/>
              <w:keepLines/>
              <w:jc w:val="center"/>
            </w:pPr>
            <w:r>
              <w:rPr>
                <w:sz w:val="20"/>
              </w:rPr>
              <w:t>DST02 / MA-S2</w:t>
            </w:r>
          </w:p>
        </w:tc>
        <w:tc>
          <w:tcPr>
            <w:tcW w:type="dxa" w:w="2448"/>
            <w:vAlign w:val="center"/>
            <w:tcMar>
              <w:top w:w="85" w:type="dxa"/>
              <w:bottom w:w="85" w:type="dxa"/>
              <w:left w:w="95" w:type="dxa"/>
              <w:right w:w="95" w:type="dxa"/>
            </w:tcMar>
            <w:shd w:fill="FFFFFF"/>
          </w:tcPr>
          <w:p>
            <w:pPr>
              <w:pStyle w:val="TableText"/>
              <w:keepNext w:val="0"/>
              <w:keepLines/>
            </w:pPr>
            <w:r>
              <w:rPr>
                <w:sz w:val="20"/>
              </w:rPr>
              <w:t>Buried Delta</w:t>
            </w:r>
          </w:p>
        </w:tc>
        <w:tc>
          <w:tcPr>
            <w:tcW w:type="dxa" w:w="5717"/>
            <w:vAlign w:val="center"/>
            <w:tcMar>
              <w:top w:w="85" w:type="dxa"/>
              <w:bottom w:w="85" w:type="dxa"/>
              <w:left w:w="95" w:type="dxa"/>
              <w:right w:w="95" w:type="dxa"/>
            </w:tcMar>
            <w:shd w:fill="FFFFFF"/>
          </w:tcPr>
          <w:p>
            <w:pPr>
              <w:pStyle w:val="TableText"/>
              <w:keepNext w:val="0"/>
              <w:keepLines/>
            </w:pPr>
            <w:r>
              <w:rPr>
                <w:sz w:val="20"/>
              </w:rPr>
              <w:t>Overhead branching dry channels / interpreting a channel-to-cave junction</w:t>
            </w:r>
          </w:p>
        </w:tc>
      </w:tr>
      <w:tr>
        <w:trPr>
          <w:cantSplit/>
        </w:trPr>
        <w:tc>
          <w:tcPr>
            <w:tcW w:type="dxa" w:w="1829"/>
            <w:vAlign w:val="center"/>
            <w:tcMar>
              <w:top w:w="85" w:type="dxa"/>
              <w:bottom w:w="85" w:type="dxa"/>
              <w:left w:w="95" w:type="dxa"/>
              <w:right w:w="95" w:type="dxa"/>
            </w:tcMar>
            <w:shd w:fill="F3F5F6"/>
          </w:tcPr>
          <w:p>
            <w:pPr>
              <w:pStyle w:val="TableText"/>
              <w:keepNext w:val="0"/>
              <w:keepLines/>
              <w:jc w:val="center"/>
            </w:pPr>
            <w:r>
              <w:rPr>
                <w:sz w:val="20"/>
              </w:rPr>
              <w:t>DST02 / MA-L1</w:t>
            </w:r>
          </w:p>
        </w:tc>
        <w:tc>
          <w:tcPr>
            <w:tcW w:type="dxa" w:w="2448"/>
            <w:vAlign w:val="center"/>
            <w:tcMar>
              <w:top w:w="85" w:type="dxa"/>
              <w:bottom w:w="85" w:type="dxa"/>
              <w:left w:w="95" w:type="dxa"/>
              <w:right w:w="95" w:type="dxa"/>
            </w:tcMar>
            <w:shd w:fill="F3F5F6"/>
          </w:tcPr>
          <w:p>
            <w:pPr>
              <w:pStyle w:val="TableText"/>
              <w:keepNext w:val="0"/>
              <w:keepLines/>
            </w:pPr>
            <w:r>
              <w:rPr>
                <w:sz w:val="20"/>
              </w:rPr>
              <w:t>Ochre Galleries</w:t>
            </w:r>
          </w:p>
        </w:tc>
        <w:tc>
          <w:tcPr>
            <w:tcW w:type="dxa" w:w="5717"/>
            <w:vAlign w:val="center"/>
            <w:tcMar>
              <w:top w:w="85" w:type="dxa"/>
              <w:bottom w:w="85" w:type="dxa"/>
              <w:left w:w="95" w:type="dxa"/>
              <w:right w:w="95" w:type="dxa"/>
            </w:tcMar>
            <w:shd w:fill="F3F5F6"/>
          </w:tcPr>
          <w:p>
            <w:pPr>
              <w:pStyle w:val="TableText"/>
              <w:keepNext w:val="0"/>
              <w:keepLines/>
            </w:pPr>
            <w:r>
              <w:rPr>
                <w:sz w:val="20"/>
              </w:rPr>
              <w:t>Layered sheltered passages / compact underground field camp</w:t>
            </w:r>
          </w:p>
        </w:tc>
      </w:tr>
      <w:tr>
        <w:trPr>
          <w:cantSplit/>
        </w:trPr>
        <w:tc>
          <w:tcPr>
            <w:tcW w:type="dxa" w:w="1829"/>
            <w:vAlign w:val="center"/>
            <w:tcMar>
              <w:top w:w="85" w:type="dxa"/>
              <w:bottom w:w="85" w:type="dxa"/>
              <w:left w:w="95" w:type="dxa"/>
              <w:right w:w="95" w:type="dxa"/>
            </w:tcMar>
            <w:shd w:fill="FFFFFF"/>
          </w:tcPr>
          <w:p>
            <w:pPr>
              <w:pStyle w:val="TableText"/>
              <w:keepNext w:val="0"/>
              <w:keepLines/>
              <w:jc w:val="center"/>
            </w:pPr>
            <w:r>
              <w:rPr>
                <w:sz w:val="20"/>
              </w:rPr>
              <w:t>DST02 / MA-L2</w:t>
            </w:r>
          </w:p>
        </w:tc>
        <w:tc>
          <w:tcPr>
            <w:tcW w:type="dxa" w:w="2448"/>
            <w:vAlign w:val="center"/>
            <w:tcMar>
              <w:top w:w="85" w:type="dxa"/>
              <w:bottom w:w="85" w:type="dxa"/>
              <w:left w:w="95" w:type="dxa"/>
              <w:right w:w="95" w:type="dxa"/>
            </w:tcMar>
            <w:shd w:fill="FFFFFF"/>
          </w:tcPr>
          <w:p>
            <w:pPr>
              <w:pStyle w:val="TableText"/>
              <w:keepNext w:val="0"/>
              <w:keepLines/>
            </w:pPr>
            <w:r>
              <w:rPr>
                <w:sz w:val="20"/>
              </w:rPr>
              <w:t>Brine Scarps</w:t>
            </w:r>
          </w:p>
        </w:tc>
        <w:tc>
          <w:tcPr>
            <w:tcW w:type="dxa" w:w="5717"/>
            <w:vAlign w:val="center"/>
            <w:tcMar>
              <w:top w:w="85" w:type="dxa"/>
              <w:bottom w:w="85" w:type="dxa"/>
              <w:left w:w="95" w:type="dxa"/>
              <w:right w:w="95" w:type="dxa"/>
            </w:tcMar>
            <w:shd w:fill="FFFFFF"/>
          </w:tcPr>
          <w:p>
            <w:pPr>
              <w:pStyle w:val="TableText"/>
              <w:keepNext w:val="0"/>
              <w:keepLines/>
            </w:pPr>
            <w:r>
              <w:rPr>
                <w:sz w:val="20"/>
              </w:rPr>
              <w:t>Stepped mineral cliffs and isolated pools / protected sampling</w:t>
            </w:r>
          </w:p>
        </w:tc>
      </w:tr>
      <w:tr>
        <w:trPr>
          <w:cantSplit/>
        </w:trPr>
        <w:tc>
          <w:tcPr>
            <w:tcW w:type="dxa" w:w="1829"/>
            <w:vAlign w:val="center"/>
            <w:tcMar>
              <w:top w:w="85" w:type="dxa"/>
              <w:bottom w:w="85" w:type="dxa"/>
              <w:left w:w="95" w:type="dxa"/>
              <w:right w:w="95" w:type="dxa"/>
            </w:tcMar>
            <w:shd w:fill="F3F5F6"/>
          </w:tcPr>
          <w:p>
            <w:pPr>
              <w:pStyle w:val="TableText"/>
              <w:keepNext w:val="0"/>
              <w:keepLines/>
              <w:jc w:val="center"/>
            </w:pPr>
            <w:r>
              <w:rPr>
                <w:sz w:val="20"/>
              </w:rPr>
              <w:t>DST02 / MA-L3</w:t>
            </w:r>
          </w:p>
        </w:tc>
        <w:tc>
          <w:tcPr>
            <w:tcW w:type="dxa" w:w="2448"/>
            <w:vAlign w:val="center"/>
            <w:tcMar>
              <w:top w:w="85" w:type="dxa"/>
              <w:bottom w:w="85" w:type="dxa"/>
              <w:left w:w="95" w:type="dxa"/>
              <w:right w:w="95" w:type="dxa"/>
            </w:tcMar>
            <w:shd w:fill="F3F5F6"/>
          </w:tcPr>
          <w:p>
            <w:pPr>
              <w:pStyle w:val="TableText"/>
              <w:keepNext w:val="0"/>
              <w:keepLines/>
            </w:pPr>
            <w:r>
              <w:rPr>
                <w:sz w:val="20"/>
              </w:rPr>
              <w:t>Rootstone Chambers</w:t>
            </w:r>
          </w:p>
        </w:tc>
        <w:tc>
          <w:tcPr>
            <w:tcW w:type="dxa" w:w="5717"/>
            <w:vAlign w:val="center"/>
            <w:tcMar>
              <w:top w:w="85" w:type="dxa"/>
              <w:bottom w:w="85" w:type="dxa"/>
              <w:left w:w="95" w:type="dxa"/>
              <w:right w:w="95" w:type="dxa"/>
            </w:tcMar>
            <w:shd w:fill="F3F5F6"/>
          </w:tcPr>
          <w:p>
            <w:pPr>
              <w:pStyle w:val="TableText"/>
              <w:keepNext w:val="0"/>
              <w:keepLines/>
            </w:pPr>
            <w:r>
              <w:rPr>
                <w:sz w:val="20"/>
              </w:rPr>
              <w:t>Branching geological ribs / instrument survey through linked chambers</w:t>
            </w:r>
          </w:p>
        </w:tc>
      </w:tr>
      <w:tr>
        <w:trPr>
          <w:cantSplit/>
        </w:trPr>
        <w:tc>
          <w:tcPr>
            <w:tcW w:type="dxa" w:w="1829"/>
            <w:vAlign w:val="center"/>
            <w:tcMar>
              <w:top w:w="85" w:type="dxa"/>
              <w:bottom w:w="85" w:type="dxa"/>
              <w:left w:w="95" w:type="dxa"/>
              <w:right w:w="95" w:type="dxa"/>
            </w:tcMar>
            <w:shd w:fill="FFFFFF"/>
          </w:tcPr>
          <w:p>
            <w:pPr>
              <w:pStyle w:val="TableText"/>
              <w:keepNext w:val="0"/>
              <w:keepLines/>
              <w:jc w:val="center"/>
            </w:pPr>
            <w:r>
              <w:rPr>
                <w:sz w:val="20"/>
              </w:rPr>
              <w:t>DST03 / CE-S1</w:t>
            </w:r>
          </w:p>
        </w:tc>
        <w:tc>
          <w:tcPr>
            <w:tcW w:type="dxa" w:w="2448"/>
            <w:vAlign w:val="center"/>
            <w:tcMar>
              <w:top w:w="85" w:type="dxa"/>
              <w:bottom w:w="85" w:type="dxa"/>
              <w:left w:w="95" w:type="dxa"/>
              <w:right w:w="95" w:type="dxa"/>
            </w:tcMar>
            <w:shd w:fill="FFFFFF"/>
          </w:tcPr>
          <w:p>
            <w:pPr>
              <w:pStyle w:val="TableText"/>
              <w:keepNext w:val="0"/>
              <w:keepLines/>
            </w:pPr>
            <w:r>
              <w:rPr>
                <w:sz w:val="20"/>
              </w:rPr>
              <w:t>Broken Crown</w:t>
            </w:r>
          </w:p>
        </w:tc>
        <w:tc>
          <w:tcPr>
            <w:tcW w:type="dxa" w:w="5717"/>
            <w:vAlign w:val="center"/>
            <w:tcMar>
              <w:top w:w="85" w:type="dxa"/>
              <w:bottom w:w="85" w:type="dxa"/>
              <w:left w:w="95" w:type="dxa"/>
              <w:right w:w="95" w:type="dxa"/>
            </w:tcMar>
            <w:shd w:fill="FFFFFF"/>
          </w:tcPr>
          <w:p>
            <w:pPr>
              <w:pStyle w:val="TableText"/>
              <w:keepNext w:val="0"/>
              <w:keepLines/>
            </w:pPr>
            <w:r>
              <w:rPr>
                <w:sz w:val="20"/>
              </w:rPr>
              <w:t>Angular ridges and exposed masses / tethered gap crossing</w:t>
            </w:r>
          </w:p>
        </w:tc>
      </w:tr>
      <w:tr>
        <w:trPr>
          <w:cantSplit/>
        </w:trPr>
        <w:tc>
          <w:tcPr>
            <w:tcW w:type="dxa" w:w="1829"/>
            <w:vAlign w:val="center"/>
            <w:tcMar>
              <w:top w:w="85" w:type="dxa"/>
              <w:bottom w:w="85" w:type="dxa"/>
              <w:left w:w="95" w:type="dxa"/>
              <w:right w:w="95" w:type="dxa"/>
            </w:tcMar>
            <w:shd w:fill="F3F5F6"/>
          </w:tcPr>
          <w:p>
            <w:pPr>
              <w:pStyle w:val="TableText"/>
              <w:keepNext w:val="0"/>
              <w:keepLines/>
              <w:jc w:val="center"/>
            </w:pPr>
            <w:r>
              <w:rPr>
                <w:sz w:val="20"/>
              </w:rPr>
              <w:t>DST03 / CE-L1</w:t>
            </w:r>
          </w:p>
        </w:tc>
        <w:tc>
          <w:tcPr>
            <w:tcW w:type="dxa" w:w="2448"/>
            <w:vAlign w:val="center"/>
            <w:tcMar>
              <w:top w:w="85" w:type="dxa"/>
              <w:bottom w:w="85" w:type="dxa"/>
              <w:left w:w="95" w:type="dxa"/>
              <w:right w:w="95" w:type="dxa"/>
            </w:tcMar>
            <w:shd w:fill="F3F5F6"/>
          </w:tcPr>
          <w:p>
            <w:pPr>
              <w:pStyle w:val="TableText"/>
              <w:keepNext w:val="0"/>
              <w:keepLines/>
            </w:pPr>
            <w:r>
              <w:rPr>
                <w:sz w:val="20"/>
              </w:rPr>
              <w:t>Rubble Mazes</w:t>
            </w:r>
          </w:p>
        </w:tc>
        <w:tc>
          <w:tcPr>
            <w:tcW w:type="dxa" w:w="5717"/>
            <w:vAlign w:val="center"/>
            <w:tcMar>
              <w:top w:w="85" w:type="dxa"/>
              <w:bottom w:w="85" w:type="dxa"/>
              <w:left w:w="95" w:type="dxa"/>
              <w:right w:w="95" w:type="dxa"/>
            </w:tcMar>
            <w:shd w:fill="F3F5F6"/>
          </w:tcPr>
          <w:p>
            <w:pPr>
              <w:pStyle w:val="TableText"/>
              <w:keepNext w:val="0"/>
              <w:keepLines/>
            </w:pPr>
            <w:r>
              <w:rPr>
                <w:sz w:val="20"/>
              </w:rPr>
              <w:t>Interlocking voids around giant blocks / establishing a braced route</w:t>
            </w:r>
          </w:p>
        </w:tc>
      </w:tr>
      <w:tr>
        <w:trPr>
          <w:cantSplit/>
        </w:trPr>
        <w:tc>
          <w:tcPr>
            <w:tcW w:type="dxa" w:w="1829"/>
            <w:vAlign w:val="center"/>
            <w:tcMar>
              <w:top w:w="85" w:type="dxa"/>
              <w:bottom w:w="85" w:type="dxa"/>
              <w:left w:w="95" w:type="dxa"/>
              <w:right w:w="95" w:type="dxa"/>
            </w:tcMar>
            <w:shd w:fill="FFFFFF"/>
          </w:tcPr>
          <w:p>
            <w:pPr>
              <w:pStyle w:val="TableText"/>
              <w:keepNext w:val="0"/>
              <w:keepLines/>
              <w:jc w:val="center"/>
            </w:pPr>
            <w:r>
              <w:rPr>
                <w:sz w:val="20"/>
              </w:rPr>
              <w:t>DST03 / CE-L2</w:t>
            </w:r>
          </w:p>
        </w:tc>
        <w:tc>
          <w:tcPr>
            <w:tcW w:type="dxa" w:w="2448"/>
            <w:vAlign w:val="center"/>
            <w:tcMar>
              <w:top w:w="85" w:type="dxa"/>
              <w:bottom w:w="85" w:type="dxa"/>
              <w:left w:w="95" w:type="dxa"/>
              <w:right w:w="95" w:type="dxa"/>
            </w:tcMar>
            <w:shd w:fill="FFFFFF"/>
          </w:tcPr>
          <w:p>
            <w:pPr>
              <w:pStyle w:val="TableText"/>
              <w:keepNext w:val="0"/>
              <w:keepLines/>
            </w:pPr>
            <w:r>
              <w:rPr>
                <w:sz w:val="20"/>
              </w:rPr>
              <w:t>Ice Pockets</w:t>
            </w:r>
          </w:p>
        </w:tc>
        <w:tc>
          <w:tcPr>
            <w:tcW w:type="dxa" w:w="5717"/>
            <w:vAlign w:val="center"/>
            <w:tcMar>
              <w:top w:w="85" w:type="dxa"/>
              <w:bottom w:w="85" w:type="dxa"/>
              <w:left w:w="95" w:type="dxa"/>
              <w:right w:w="95" w:type="dxa"/>
            </w:tcMar>
            <w:shd w:fill="FFFFFF"/>
          </w:tcPr>
          <w:p>
            <w:pPr>
              <w:pStyle w:val="TableText"/>
              <w:keepNext w:val="0"/>
              <w:keepLines/>
            </w:pPr>
            <w:r>
              <w:rPr>
                <w:sz w:val="20"/>
              </w:rPr>
              <w:t>Enclosed reflective deposit chamber / staged containment extraction</w:t>
            </w:r>
          </w:p>
        </w:tc>
      </w:tr>
      <w:tr>
        <w:trPr>
          <w:cantSplit/>
        </w:trPr>
        <w:tc>
          <w:tcPr>
            <w:tcW w:type="dxa" w:w="1829"/>
            <w:vAlign w:val="center"/>
            <w:tcMar>
              <w:top w:w="85" w:type="dxa"/>
              <w:bottom w:w="85" w:type="dxa"/>
              <w:left w:w="95" w:type="dxa"/>
              <w:right w:w="95" w:type="dxa"/>
            </w:tcMar>
            <w:shd w:fill="F3F5F6"/>
          </w:tcPr>
          <w:p>
            <w:pPr>
              <w:pStyle w:val="TableText"/>
              <w:keepNext w:val="0"/>
              <w:keepLines/>
              <w:jc w:val="center"/>
            </w:pPr>
            <w:r>
              <w:rPr>
                <w:sz w:val="20"/>
              </w:rPr>
              <w:t>DST03 / CE-L3</w:t>
            </w:r>
          </w:p>
        </w:tc>
        <w:tc>
          <w:tcPr>
            <w:tcW w:type="dxa" w:w="2448"/>
            <w:vAlign w:val="center"/>
            <w:tcMar>
              <w:top w:w="85" w:type="dxa"/>
              <w:bottom w:w="85" w:type="dxa"/>
              <w:left w:w="95" w:type="dxa"/>
              <w:right w:w="95" w:type="dxa"/>
            </w:tcMar>
            <w:shd w:fill="F3F5F6"/>
          </w:tcPr>
          <w:p>
            <w:pPr>
              <w:pStyle w:val="TableText"/>
              <w:keepNext w:val="0"/>
              <w:keepLines/>
            </w:pPr>
            <w:r>
              <w:rPr>
                <w:sz w:val="20"/>
              </w:rPr>
              <w:t>Anchorstone Spine</w:t>
            </w:r>
          </w:p>
        </w:tc>
        <w:tc>
          <w:tcPr>
            <w:tcW w:type="dxa" w:w="5717"/>
            <w:vAlign w:val="center"/>
            <w:tcMar>
              <w:top w:w="85" w:type="dxa"/>
              <w:bottom w:w="85" w:type="dxa"/>
              <w:left w:w="95" w:type="dxa"/>
              <w:right w:w="95" w:type="dxa"/>
            </w:tcMar>
            <w:shd w:fill="F3F5F6"/>
          </w:tcPr>
          <w:p>
            <w:pPr>
              <w:pStyle w:val="TableText"/>
              <w:keepNext w:val="0"/>
              <w:keepLines/>
            </w:pPr>
            <w:r>
              <w:rPr>
                <w:sz w:val="20"/>
              </w:rPr>
              <w:t>Continuous structural ribs / bulky cargo following verified anchors</w:t>
            </w:r>
          </w:p>
        </w:tc>
      </w:tr>
      <w:tr>
        <w:trPr>
          <w:cantSplit/>
        </w:trPr>
        <w:tc>
          <w:tcPr>
            <w:tcW w:type="dxa" w:w="1829"/>
            <w:vAlign w:val="center"/>
            <w:tcMar>
              <w:top w:w="85" w:type="dxa"/>
              <w:bottom w:w="85" w:type="dxa"/>
              <w:left w:w="95" w:type="dxa"/>
              <w:right w:w="95" w:type="dxa"/>
            </w:tcMar>
            <w:shd w:fill="FFFFFF"/>
          </w:tcPr>
          <w:p>
            <w:pPr>
              <w:pStyle w:val="TableText"/>
              <w:keepNext w:val="0"/>
              <w:keepLines/>
              <w:jc w:val="center"/>
            </w:pPr>
            <w:r>
              <w:rPr>
                <w:sz w:val="20"/>
              </w:rPr>
              <w:t>DST04 / EU-S1</w:t>
            </w:r>
          </w:p>
        </w:tc>
        <w:tc>
          <w:tcPr>
            <w:tcW w:type="dxa" w:w="2448"/>
            <w:vAlign w:val="center"/>
            <w:tcMar>
              <w:top w:w="85" w:type="dxa"/>
              <w:bottom w:w="85" w:type="dxa"/>
              <w:left w:w="95" w:type="dxa"/>
              <w:right w:w="95" w:type="dxa"/>
            </w:tcMar>
            <w:shd w:fill="FFFFFF"/>
          </w:tcPr>
          <w:p>
            <w:pPr>
              <w:pStyle w:val="TableText"/>
              <w:keepNext w:val="0"/>
              <w:keepLines/>
            </w:pPr>
            <w:r>
              <w:rPr>
                <w:sz w:val="20"/>
              </w:rPr>
              <w:t>Fracture Plains</w:t>
            </w:r>
          </w:p>
        </w:tc>
        <w:tc>
          <w:tcPr>
            <w:tcW w:type="dxa" w:w="5717"/>
            <w:vAlign w:val="center"/>
            <w:tcMar>
              <w:top w:w="85" w:type="dxa"/>
              <w:bottom w:w="85" w:type="dxa"/>
              <w:left w:w="95" w:type="dxa"/>
              <w:right w:w="95" w:type="dxa"/>
            </w:tcMar>
            <w:shd w:fill="FFFFFF"/>
          </w:tcPr>
          <w:p>
            <w:pPr>
              <w:pStyle w:val="TableText"/>
              <w:keepNext w:val="0"/>
              <w:keepLines/>
            </w:pPr>
            <w:r>
              <w:rPr>
                <w:sz w:val="20"/>
              </w:rPr>
              <w:t>Ice ridges beneath Jupiter / selecting and securing a bore site</w:t>
            </w:r>
          </w:p>
        </w:tc>
      </w:tr>
      <w:tr>
        <w:trPr>
          <w:cantSplit/>
        </w:trPr>
        <w:tc>
          <w:tcPr>
            <w:tcW w:type="dxa" w:w="1829"/>
            <w:vAlign w:val="center"/>
            <w:tcMar>
              <w:top w:w="85" w:type="dxa"/>
              <w:bottom w:w="85" w:type="dxa"/>
              <w:left w:w="95" w:type="dxa"/>
              <w:right w:w="95" w:type="dxa"/>
            </w:tcMar>
            <w:shd w:fill="F3F5F6"/>
          </w:tcPr>
          <w:p>
            <w:pPr>
              <w:pStyle w:val="TableText"/>
              <w:keepNext w:val="0"/>
              <w:keepLines/>
              <w:jc w:val="center"/>
            </w:pPr>
            <w:r>
              <w:rPr>
                <w:sz w:val="20"/>
              </w:rPr>
              <w:t>DST04 / EU-L1</w:t>
            </w:r>
          </w:p>
        </w:tc>
        <w:tc>
          <w:tcPr>
            <w:tcW w:type="dxa" w:w="2448"/>
            <w:vAlign w:val="center"/>
            <w:tcMar>
              <w:top w:w="85" w:type="dxa"/>
              <w:bottom w:w="85" w:type="dxa"/>
              <w:left w:w="95" w:type="dxa"/>
              <w:right w:w="95" w:type="dxa"/>
            </w:tcMar>
            <w:shd w:fill="F3F5F6"/>
          </w:tcPr>
          <w:p>
            <w:pPr>
              <w:pStyle w:val="TableText"/>
              <w:keepNext w:val="0"/>
              <w:keepLines/>
            </w:pPr>
            <w:r>
              <w:rPr>
                <w:sz w:val="20"/>
              </w:rPr>
              <w:t>Blue Pressure Halls</w:t>
            </w:r>
          </w:p>
        </w:tc>
        <w:tc>
          <w:tcPr>
            <w:tcW w:type="dxa" w:w="5717"/>
            <w:vAlign w:val="center"/>
            <w:tcMar>
              <w:top w:w="85" w:type="dxa"/>
              <w:bottom w:w="85" w:type="dxa"/>
              <w:left w:w="95" w:type="dxa"/>
              <w:right w:w="95" w:type="dxa"/>
            </w:tcMar>
            <w:shd w:fill="F3F5F6"/>
          </w:tcPr>
          <w:p>
            <w:pPr>
              <w:pStyle w:val="TableText"/>
              <w:keepNext w:val="0"/>
              <w:keepLines/>
            </w:pPr>
            <w:r>
              <w:rPr>
                <w:sz w:val="20"/>
              </w:rPr>
              <w:t>Compressed blue ice galleries / controlled water-interface opening</w:t>
            </w:r>
          </w:p>
        </w:tc>
      </w:tr>
      <w:tr>
        <w:trPr>
          <w:cantSplit/>
        </w:trPr>
        <w:tc>
          <w:tcPr>
            <w:tcW w:type="dxa" w:w="1829"/>
            <w:vAlign w:val="center"/>
            <w:tcMar>
              <w:top w:w="85" w:type="dxa"/>
              <w:bottom w:w="85" w:type="dxa"/>
              <w:left w:w="95" w:type="dxa"/>
              <w:right w:w="95" w:type="dxa"/>
            </w:tcMar>
            <w:shd w:fill="FFFFFF"/>
          </w:tcPr>
          <w:p>
            <w:pPr>
              <w:pStyle w:val="TableText"/>
              <w:keepNext w:val="0"/>
              <w:keepLines/>
              <w:jc w:val="center"/>
            </w:pPr>
            <w:r>
              <w:rPr>
                <w:sz w:val="20"/>
              </w:rPr>
              <w:t>DST04 / EU-L2</w:t>
            </w:r>
          </w:p>
        </w:tc>
        <w:tc>
          <w:tcPr>
            <w:tcW w:type="dxa" w:w="2448"/>
            <w:vAlign w:val="center"/>
            <w:tcMar>
              <w:top w:w="85" w:type="dxa"/>
              <w:bottom w:w="85" w:type="dxa"/>
              <w:left w:w="95" w:type="dxa"/>
              <w:right w:w="95" w:type="dxa"/>
            </w:tcMar>
            <w:shd w:fill="FFFFFF"/>
          </w:tcPr>
          <w:p>
            <w:pPr>
              <w:pStyle w:val="TableText"/>
              <w:keepNext w:val="0"/>
              <w:keepLines/>
            </w:pPr>
            <w:r>
              <w:rPr>
                <w:sz w:val="20"/>
              </w:rPr>
              <w:t>Lantern Ocean</w:t>
            </w:r>
          </w:p>
        </w:tc>
        <w:tc>
          <w:tcPr>
            <w:tcW w:type="dxa" w:w="5717"/>
            <w:vAlign w:val="center"/>
            <w:tcMar>
              <w:top w:w="85" w:type="dxa"/>
              <w:bottom w:w="85" w:type="dxa"/>
              <w:left w:w="95" w:type="dxa"/>
              <w:right w:w="95" w:type="dxa"/>
            </w:tcMar>
            <w:shd w:fill="FFFFFF"/>
          </w:tcPr>
          <w:p>
            <w:pPr>
              <w:pStyle w:val="TableText"/>
              <w:keepNext w:val="0"/>
              <w:keepLines/>
            </w:pPr>
            <w:r>
              <w:rPr>
                <w:sz w:val="20"/>
              </w:rPr>
              <w:t>Ocean beneath hanging ice keels / tethered submersible exploration</w:t>
            </w:r>
          </w:p>
        </w:tc>
      </w:tr>
      <w:tr>
        <w:trPr>
          <w:cantSplit/>
        </w:trPr>
        <w:tc>
          <w:tcPr>
            <w:tcW w:type="dxa" w:w="1829"/>
            <w:vAlign w:val="center"/>
            <w:tcMar>
              <w:top w:w="85" w:type="dxa"/>
              <w:bottom w:w="85" w:type="dxa"/>
              <w:left w:w="95" w:type="dxa"/>
              <w:right w:w="95" w:type="dxa"/>
            </w:tcMar>
            <w:shd w:fill="F3F5F6"/>
          </w:tcPr>
          <w:p>
            <w:pPr>
              <w:pStyle w:val="TableText"/>
              <w:keepNext w:val="0"/>
              <w:keepLines/>
              <w:jc w:val="center"/>
            </w:pPr>
            <w:r>
              <w:rPr>
                <w:sz w:val="20"/>
              </w:rPr>
              <w:t>DST04 / EU-L3</w:t>
            </w:r>
          </w:p>
        </w:tc>
        <w:tc>
          <w:tcPr>
            <w:tcW w:type="dxa" w:w="2448"/>
            <w:vAlign w:val="center"/>
            <w:tcMar>
              <w:top w:w="85" w:type="dxa"/>
              <w:bottom w:w="85" w:type="dxa"/>
              <w:left w:w="95" w:type="dxa"/>
              <w:right w:w="95" w:type="dxa"/>
            </w:tcMar>
            <w:shd w:fill="F3F5F6"/>
          </w:tcPr>
          <w:p>
            <w:pPr>
              <w:pStyle w:val="TableText"/>
              <w:keepNext w:val="0"/>
              <w:keepLines/>
            </w:pPr>
            <w:r>
              <w:rPr>
                <w:sz w:val="20"/>
              </w:rPr>
              <w:t>Vent Gardens</w:t>
            </w:r>
          </w:p>
        </w:tc>
        <w:tc>
          <w:tcPr>
            <w:tcW w:type="dxa" w:w="5717"/>
            <w:vAlign w:val="center"/>
            <w:tcMar>
              <w:top w:w="85" w:type="dxa"/>
              <w:bottom w:w="85" w:type="dxa"/>
              <w:left w:w="95" w:type="dxa"/>
              <w:right w:w="95" w:type="dxa"/>
            </w:tcMar>
            <w:shd w:fill="F3F5F6"/>
          </w:tcPr>
          <w:p>
            <w:pPr>
              <w:pStyle w:val="TableText"/>
              <w:keepNext w:val="0"/>
              <w:keepLines/>
            </w:pPr>
            <w:r>
              <w:rPr>
                <w:sz w:val="20"/>
              </w:rPr>
              <w:t>Luminous vent-centered ecology / non-destructive acoustic observation</w:t>
            </w:r>
          </w:p>
        </w:tc>
      </w:tr>
      <w:tr>
        <w:trPr>
          <w:cantSplit/>
        </w:trPr>
        <w:tc>
          <w:tcPr>
            <w:tcW w:type="dxa" w:w="1829"/>
            <w:vAlign w:val="center"/>
            <w:tcMar>
              <w:top w:w="85" w:type="dxa"/>
              <w:bottom w:w="85" w:type="dxa"/>
              <w:left w:w="95" w:type="dxa"/>
              <w:right w:w="95" w:type="dxa"/>
            </w:tcMar>
            <w:shd w:fill="FFFFFF"/>
          </w:tcPr>
          <w:p>
            <w:pPr>
              <w:pStyle w:val="TableText"/>
              <w:keepNext w:val="0"/>
              <w:keepLines/>
              <w:jc w:val="center"/>
            </w:pPr>
            <w:r>
              <w:rPr>
                <w:sz w:val="20"/>
              </w:rPr>
              <w:t>DST05 / IO-S1</w:t>
            </w:r>
          </w:p>
        </w:tc>
        <w:tc>
          <w:tcPr>
            <w:tcW w:type="dxa" w:w="2448"/>
            <w:vAlign w:val="center"/>
            <w:tcMar>
              <w:top w:w="85" w:type="dxa"/>
              <w:bottom w:w="85" w:type="dxa"/>
              <w:left w:w="95" w:type="dxa"/>
              <w:right w:w="95" w:type="dxa"/>
            </w:tcMar>
            <w:shd w:fill="FFFFFF"/>
          </w:tcPr>
          <w:p>
            <w:pPr>
              <w:pStyle w:val="TableText"/>
              <w:keepNext w:val="0"/>
              <w:keepLines/>
            </w:pPr>
            <w:r>
              <w:rPr>
                <w:sz w:val="20"/>
              </w:rPr>
              <w:t>Sulfur Terraces</w:t>
            </w:r>
          </w:p>
        </w:tc>
        <w:tc>
          <w:tcPr>
            <w:tcW w:type="dxa" w:w="5717"/>
            <w:vAlign w:val="center"/>
            <w:tcMar>
              <w:top w:w="85" w:type="dxa"/>
              <w:bottom w:w="85" w:type="dxa"/>
              <w:left w:w="95" w:type="dxa"/>
              <w:right w:w="95" w:type="dxa"/>
            </w:tcMar>
            <w:shd w:fill="FFFFFF"/>
          </w:tcPr>
          <w:p>
            <w:pPr>
              <w:pStyle w:val="TableText"/>
              <w:keepNext w:val="0"/>
              <w:keepLines/>
            </w:pPr>
            <w:r>
              <w:rPr>
                <w:sz w:val="20"/>
              </w:rPr>
              <w:t>Colored shelves and active fissures / sheltered approach route</w:t>
            </w:r>
          </w:p>
        </w:tc>
      </w:tr>
      <w:tr>
        <w:trPr>
          <w:cantSplit/>
        </w:trPr>
        <w:tc>
          <w:tcPr>
            <w:tcW w:type="dxa" w:w="1829"/>
            <w:vAlign w:val="center"/>
            <w:tcMar>
              <w:top w:w="85" w:type="dxa"/>
              <w:bottom w:w="85" w:type="dxa"/>
              <w:left w:w="95" w:type="dxa"/>
              <w:right w:w="95" w:type="dxa"/>
            </w:tcMar>
            <w:shd w:fill="F3F5F6"/>
          </w:tcPr>
          <w:p>
            <w:pPr>
              <w:pStyle w:val="TableText"/>
              <w:keepNext w:val="0"/>
              <w:keepLines/>
              <w:jc w:val="center"/>
            </w:pPr>
            <w:r>
              <w:rPr>
                <w:sz w:val="20"/>
              </w:rPr>
              <w:t>DST05 / IO-L1</w:t>
            </w:r>
          </w:p>
        </w:tc>
        <w:tc>
          <w:tcPr>
            <w:tcW w:type="dxa" w:w="2448"/>
            <w:vAlign w:val="center"/>
            <w:tcMar>
              <w:top w:w="85" w:type="dxa"/>
              <w:bottom w:w="85" w:type="dxa"/>
              <w:left w:w="95" w:type="dxa"/>
              <w:right w:w="95" w:type="dxa"/>
            </w:tcMar>
            <w:shd w:fill="F3F5F6"/>
          </w:tcPr>
          <w:p>
            <w:pPr>
              <w:pStyle w:val="TableText"/>
              <w:keepNext w:val="0"/>
              <w:keepLines/>
            </w:pPr>
            <w:r>
              <w:rPr>
                <w:sz w:val="20"/>
              </w:rPr>
              <w:t>Cooling Galleries</w:t>
            </w:r>
          </w:p>
        </w:tc>
        <w:tc>
          <w:tcPr>
            <w:tcW w:type="dxa" w:w="5717"/>
            <w:vAlign w:val="center"/>
            <w:tcMar>
              <w:top w:w="85" w:type="dxa"/>
              <w:bottom w:w="85" w:type="dxa"/>
              <w:left w:w="95" w:type="dxa"/>
              <w:right w:w="95" w:type="dxa"/>
            </w:tcMar>
            <w:shd w:fill="F3F5F6"/>
          </w:tcPr>
          <w:p>
            <w:pPr>
              <w:pStyle w:val="TableText"/>
              <w:keepNext w:val="0"/>
              <w:keepLines/>
            </w:pPr>
            <w:r>
              <w:rPr>
                <w:sz w:val="20"/>
              </w:rPr>
              <w:t>Hardened flow passages / moving between shielded pauses</w:t>
            </w:r>
          </w:p>
        </w:tc>
      </w:tr>
      <w:tr>
        <w:trPr>
          <w:cantSplit/>
        </w:trPr>
        <w:tc>
          <w:tcPr>
            <w:tcW w:type="dxa" w:w="1829"/>
            <w:vAlign w:val="center"/>
            <w:tcMar>
              <w:top w:w="85" w:type="dxa"/>
              <w:bottom w:w="85" w:type="dxa"/>
              <w:left w:w="95" w:type="dxa"/>
              <w:right w:w="95" w:type="dxa"/>
            </w:tcMar>
            <w:shd w:fill="FFFFFF"/>
          </w:tcPr>
          <w:p>
            <w:pPr>
              <w:pStyle w:val="TableText"/>
              <w:keepNext w:val="0"/>
              <w:keepLines/>
              <w:jc w:val="center"/>
            </w:pPr>
            <w:r>
              <w:rPr>
                <w:sz w:val="20"/>
              </w:rPr>
              <w:t>DST05 / IO-L2</w:t>
            </w:r>
          </w:p>
        </w:tc>
        <w:tc>
          <w:tcPr>
            <w:tcW w:type="dxa" w:w="2448"/>
            <w:vAlign w:val="center"/>
            <w:tcMar>
              <w:top w:w="85" w:type="dxa"/>
              <w:bottom w:w="85" w:type="dxa"/>
              <w:left w:w="95" w:type="dxa"/>
              <w:right w:w="95" w:type="dxa"/>
            </w:tcMar>
            <w:shd w:fill="FFFFFF"/>
          </w:tcPr>
          <w:p>
            <w:pPr>
              <w:pStyle w:val="TableText"/>
              <w:keepNext w:val="0"/>
              <w:keepLines/>
            </w:pPr>
            <w:r>
              <w:rPr>
                <w:sz w:val="20"/>
              </w:rPr>
              <w:t>Pressure Orchards</w:t>
            </w:r>
          </w:p>
        </w:tc>
        <w:tc>
          <w:tcPr>
            <w:tcW w:type="dxa" w:w="5717"/>
            <w:vAlign w:val="center"/>
            <w:tcMar>
              <w:top w:w="85" w:type="dxa"/>
              <w:bottom w:w="85" w:type="dxa"/>
              <w:left w:w="95" w:type="dxa"/>
              <w:right w:w="95" w:type="dxa"/>
            </w:tcMar>
            <w:shd w:fill="FFFFFF"/>
          </w:tcPr>
          <w:p>
            <w:pPr>
              <w:pStyle w:val="TableText"/>
              <w:keepNext w:val="0"/>
              <w:keepLines/>
            </w:pPr>
            <w:r>
              <w:rPr>
                <w:sz w:val="20"/>
              </w:rPr>
              <w:t>Branching mineral chimneys / timed crossing beside a plume cycle</w:t>
            </w:r>
          </w:p>
        </w:tc>
      </w:tr>
      <w:tr>
        <w:trPr>
          <w:cantSplit/>
        </w:trPr>
        <w:tc>
          <w:tcPr>
            <w:tcW w:type="dxa" w:w="1829"/>
            <w:vAlign w:val="center"/>
            <w:tcMar>
              <w:top w:w="85" w:type="dxa"/>
              <w:bottom w:w="85" w:type="dxa"/>
              <w:left w:w="95" w:type="dxa"/>
              <w:right w:w="95" w:type="dxa"/>
            </w:tcMar>
            <w:shd w:fill="F3F5F6"/>
          </w:tcPr>
          <w:p>
            <w:pPr>
              <w:pStyle w:val="TableText"/>
              <w:keepNext w:val="0"/>
              <w:keepLines/>
              <w:jc w:val="center"/>
            </w:pPr>
            <w:r>
              <w:rPr>
                <w:sz w:val="20"/>
              </w:rPr>
              <w:t>DST05 / IO-L3</w:t>
            </w:r>
          </w:p>
        </w:tc>
        <w:tc>
          <w:tcPr>
            <w:tcW w:type="dxa" w:w="2448"/>
            <w:vAlign w:val="center"/>
            <w:tcMar>
              <w:top w:w="85" w:type="dxa"/>
              <w:bottom w:w="85" w:type="dxa"/>
              <w:left w:w="95" w:type="dxa"/>
              <w:right w:w="95" w:type="dxa"/>
            </w:tcMar>
            <w:shd w:fill="F3F5F6"/>
          </w:tcPr>
          <w:p>
            <w:pPr>
              <w:pStyle w:val="TableText"/>
              <w:keepNext w:val="0"/>
              <w:keepLines/>
            </w:pPr>
            <w:r>
              <w:rPr>
                <w:sz w:val="20"/>
              </w:rPr>
              <w:t>Furnace Wells</w:t>
            </w:r>
          </w:p>
        </w:tc>
        <w:tc>
          <w:tcPr>
            <w:tcW w:type="dxa" w:w="5717"/>
            <w:vAlign w:val="center"/>
            <w:tcMar>
              <w:top w:w="85" w:type="dxa"/>
              <w:bottom w:w="85" w:type="dxa"/>
              <w:left w:w="95" w:type="dxa"/>
              <w:right w:w="95" w:type="dxa"/>
            </w:tcMar>
            <w:shd w:fill="F3F5F6"/>
          </w:tcPr>
          <w:p>
            <w:pPr>
              <w:pStyle w:val="TableText"/>
              <w:keepNext w:val="0"/>
              <w:keepLines/>
            </w:pPr>
            <w:r>
              <w:rPr>
                <w:sz w:val="20"/>
              </w:rPr>
              <w:t>Deep heat chamber / exchanger commissioning from protected gantries</w:t>
            </w:r>
          </w:p>
        </w:tc>
      </w:tr>
      <w:tr>
        <w:trPr>
          <w:cantSplit/>
        </w:trPr>
        <w:tc>
          <w:tcPr>
            <w:tcW w:type="dxa" w:w="1829"/>
            <w:vAlign w:val="center"/>
            <w:tcMar>
              <w:top w:w="85" w:type="dxa"/>
              <w:bottom w:w="85" w:type="dxa"/>
              <w:left w:w="95" w:type="dxa"/>
              <w:right w:w="95" w:type="dxa"/>
            </w:tcMar>
            <w:shd w:fill="FFFFFF"/>
          </w:tcPr>
          <w:p>
            <w:pPr>
              <w:pStyle w:val="TableText"/>
              <w:keepNext w:val="0"/>
              <w:keepLines/>
              <w:jc w:val="center"/>
            </w:pPr>
            <w:r>
              <w:rPr>
                <w:sz w:val="20"/>
              </w:rPr>
              <w:t>DST06 / TI-S1</w:t>
            </w:r>
          </w:p>
        </w:tc>
        <w:tc>
          <w:tcPr>
            <w:tcW w:type="dxa" w:w="2448"/>
            <w:vAlign w:val="center"/>
            <w:tcMar>
              <w:top w:w="85" w:type="dxa"/>
              <w:bottom w:w="85" w:type="dxa"/>
              <w:left w:w="95" w:type="dxa"/>
              <w:right w:w="95" w:type="dxa"/>
            </w:tcMar>
            <w:shd w:fill="FFFFFF"/>
          </w:tcPr>
          <w:p>
            <w:pPr>
              <w:pStyle w:val="TableText"/>
              <w:keepNext w:val="0"/>
              <w:keepLines/>
            </w:pPr>
            <w:r>
              <w:rPr>
                <w:sz w:val="20"/>
              </w:rPr>
              <w:t>Amber Littoral</w:t>
            </w:r>
          </w:p>
        </w:tc>
        <w:tc>
          <w:tcPr>
            <w:tcW w:type="dxa" w:w="5717"/>
            <w:vAlign w:val="center"/>
            <w:tcMar>
              <w:top w:w="85" w:type="dxa"/>
              <w:bottom w:w="85" w:type="dxa"/>
              <w:left w:w="95" w:type="dxa"/>
              <w:right w:w="95" w:type="dxa"/>
            </w:tcMar>
            <w:shd w:fill="FFFFFF"/>
          </w:tcPr>
          <w:p>
            <w:pPr>
              <w:pStyle w:val="TableText"/>
              <w:keepNext w:val="0"/>
              <w:keepLines/>
            </w:pPr>
            <w:r>
              <w:rPr>
                <w:sz w:val="20"/>
              </w:rPr>
              <w:t>Hazy shoreline and dark lakes / raised harbor operations</w:t>
            </w:r>
          </w:p>
        </w:tc>
      </w:tr>
      <w:tr>
        <w:trPr>
          <w:cantSplit/>
        </w:trPr>
        <w:tc>
          <w:tcPr>
            <w:tcW w:type="dxa" w:w="1829"/>
            <w:vAlign w:val="center"/>
            <w:tcMar>
              <w:top w:w="85" w:type="dxa"/>
              <w:bottom w:w="85" w:type="dxa"/>
              <w:left w:w="95" w:type="dxa"/>
              <w:right w:w="95" w:type="dxa"/>
            </w:tcMar>
            <w:shd w:fill="F3F5F6"/>
          </w:tcPr>
          <w:p>
            <w:pPr>
              <w:pStyle w:val="TableText"/>
              <w:keepNext w:val="0"/>
              <w:keepLines/>
              <w:jc w:val="center"/>
            </w:pPr>
            <w:r>
              <w:rPr>
                <w:sz w:val="20"/>
              </w:rPr>
              <w:t>DST06 / TI-L1</w:t>
            </w:r>
          </w:p>
        </w:tc>
        <w:tc>
          <w:tcPr>
            <w:tcW w:type="dxa" w:w="2448"/>
            <w:vAlign w:val="center"/>
            <w:tcMar>
              <w:top w:w="85" w:type="dxa"/>
              <w:bottom w:w="85" w:type="dxa"/>
              <w:left w:w="95" w:type="dxa"/>
              <w:right w:w="95" w:type="dxa"/>
            </w:tcMar>
            <w:shd w:fill="F3F5F6"/>
          </w:tcPr>
          <w:p>
            <w:pPr>
              <w:pStyle w:val="TableText"/>
              <w:keepNext w:val="0"/>
              <w:keepLines/>
            </w:pPr>
            <w:r>
              <w:rPr>
                <w:sz w:val="20"/>
              </w:rPr>
              <w:t>Waxstone Canyons</w:t>
            </w:r>
          </w:p>
        </w:tc>
        <w:tc>
          <w:tcPr>
            <w:tcW w:type="dxa" w:w="5717"/>
            <w:vAlign w:val="center"/>
            <w:tcMar>
              <w:top w:w="85" w:type="dxa"/>
              <w:bottom w:w="85" w:type="dxa"/>
              <w:left w:w="95" w:type="dxa"/>
              <w:right w:w="95" w:type="dxa"/>
            </w:tcMar>
            <w:shd w:fill="F3F5F6"/>
          </w:tcPr>
          <w:p>
            <w:pPr>
              <w:pStyle w:val="TableText"/>
              <w:keepNext w:val="0"/>
              <w:keepLines/>
            </w:pPr>
            <w:r>
              <w:rPr>
                <w:sz w:val="20"/>
              </w:rPr>
              <w:t>Sculpted underground channels / beacon-assisted route mapping</w:t>
            </w:r>
          </w:p>
        </w:tc>
      </w:tr>
      <w:tr>
        <w:trPr>
          <w:cantSplit/>
        </w:trPr>
        <w:tc>
          <w:tcPr>
            <w:tcW w:type="dxa" w:w="1829"/>
            <w:vAlign w:val="center"/>
            <w:tcMar>
              <w:top w:w="85" w:type="dxa"/>
              <w:bottom w:w="85" w:type="dxa"/>
              <w:left w:w="95" w:type="dxa"/>
              <w:right w:w="95" w:type="dxa"/>
            </w:tcMar>
            <w:shd w:fill="FFFFFF"/>
          </w:tcPr>
          <w:p>
            <w:pPr>
              <w:pStyle w:val="TableText"/>
              <w:keepNext w:val="0"/>
              <w:keepLines/>
              <w:jc w:val="center"/>
            </w:pPr>
            <w:r>
              <w:rPr>
                <w:sz w:val="20"/>
              </w:rPr>
              <w:t>DST06 / TI-L2</w:t>
            </w:r>
          </w:p>
        </w:tc>
        <w:tc>
          <w:tcPr>
            <w:tcW w:type="dxa" w:w="2448"/>
            <w:vAlign w:val="center"/>
            <w:tcMar>
              <w:top w:w="85" w:type="dxa"/>
              <w:bottom w:w="85" w:type="dxa"/>
              <w:left w:w="95" w:type="dxa"/>
              <w:right w:w="95" w:type="dxa"/>
            </w:tcMar>
            <w:shd w:fill="FFFFFF"/>
          </w:tcPr>
          <w:p>
            <w:pPr>
              <w:pStyle w:val="TableText"/>
              <w:keepNext w:val="0"/>
              <w:keepLines/>
            </w:pPr>
            <w:r>
              <w:rPr>
                <w:sz w:val="20"/>
              </w:rPr>
              <w:t>Hollow Weather</w:t>
            </w:r>
          </w:p>
        </w:tc>
        <w:tc>
          <w:tcPr>
            <w:tcW w:type="dxa" w:w="5717"/>
            <w:vAlign w:val="center"/>
            <w:tcMar>
              <w:top w:w="85" w:type="dxa"/>
              <w:bottom w:w="85" w:type="dxa"/>
              <w:left w:w="95" w:type="dxa"/>
              <w:right w:w="95" w:type="dxa"/>
            </w:tcMar>
            <w:shd w:fill="FFFFFF"/>
          </w:tcPr>
          <w:p>
            <w:pPr>
              <w:pStyle w:val="TableText"/>
              <w:keepNext w:val="0"/>
              <w:keepLines/>
            </w:pPr>
            <w:r>
              <w:rPr>
                <w:sz w:val="20"/>
              </w:rPr>
              <w:t>Cavern-scale fog and circulation / supported flight between observation ledges</w:t>
            </w:r>
          </w:p>
        </w:tc>
      </w:tr>
      <w:tr>
        <w:trPr>
          <w:cantSplit/>
        </w:trPr>
        <w:tc>
          <w:tcPr>
            <w:tcW w:type="dxa" w:w="1829"/>
            <w:vAlign w:val="center"/>
            <w:tcMar>
              <w:top w:w="85" w:type="dxa"/>
              <w:bottom w:w="85" w:type="dxa"/>
              <w:left w:w="95" w:type="dxa"/>
              <w:right w:w="95" w:type="dxa"/>
            </w:tcMar>
            <w:shd w:fill="F3F5F6"/>
          </w:tcPr>
          <w:p>
            <w:pPr>
              <w:pStyle w:val="TableText"/>
              <w:keepNext w:val="0"/>
              <w:keepLines/>
              <w:jc w:val="center"/>
            </w:pPr>
            <w:r>
              <w:rPr>
                <w:sz w:val="20"/>
              </w:rPr>
              <w:t>DST06 / TI-L3</w:t>
            </w:r>
          </w:p>
        </w:tc>
        <w:tc>
          <w:tcPr>
            <w:tcW w:type="dxa" w:w="2448"/>
            <w:vAlign w:val="center"/>
            <w:tcMar>
              <w:top w:w="85" w:type="dxa"/>
              <w:bottom w:w="85" w:type="dxa"/>
              <w:left w:w="95" w:type="dxa"/>
              <w:right w:w="95" w:type="dxa"/>
            </w:tcMar>
            <w:shd w:fill="F3F5F6"/>
          </w:tcPr>
          <w:p>
            <w:pPr>
              <w:pStyle w:val="TableText"/>
              <w:keepNext w:val="0"/>
              <w:keepLines/>
            </w:pPr>
            <w:r>
              <w:rPr>
                <w:sz w:val="20"/>
              </w:rPr>
              <w:t>Slow Gardens</w:t>
            </w:r>
          </w:p>
        </w:tc>
        <w:tc>
          <w:tcPr>
            <w:tcW w:type="dxa" w:w="5717"/>
            <w:vAlign w:val="center"/>
            <w:tcMar>
              <w:top w:w="85" w:type="dxa"/>
              <w:bottom w:w="85" w:type="dxa"/>
              <w:left w:w="95" w:type="dxa"/>
              <w:right w:w="95" w:type="dxa"/>
            </w:tcMar>
            <w:shd w:fill="F3F5F6"/>
          </w:tcPr>
          <w:p>
            <w:pPr>
              <w:pStyle w:val="TableText"/>
              <w:keepNext w:val="0"/>
              <w:keepLines/>
            </w:pPr>
            <w:r>
              <w:rPr>
                <w:sz w:val="20"/>
              </w:rPr>
              <w:t>Folded membrane and mat ecology / patient selective collection</w:t>
            </w:r>
          </w:p>
        </w:tc>
      </w:tr>
      <w:tr>
        <w:trPr>
          <w:cantSplit/>
        </w:trPr>
        <w:tc>
          <w:tcPr>
            <w:tcW w:type="dxa" w:w="1829"/>
            <w:vAlign w:val="center"/>
            <w:tcMar>
              <w:top w:w="85" w:type="dxa"/>
              <w:bottom w:w="85" w:type="dxa"/>
              <w:left w:w="95" w:type="dxa"/>
              <w:right w:w="95" w:type="dxa"/>
            </w:tcMar>
            <w:shd w:fill="FFFFFF"/>
          </w:tcPr>
          <w:p>
            <w:pPr>
              <w:pStyle w:val="TableText"/>
              <w:keepNext w:val="0"/>
              <w:keepLines/>
              <w:jc w:val="center"/>
            </w:pPr>
            <w:r>
              <w:rPr>
                <w:sz w:val="20"/>
              </w:rPr>
              <w:t>DST07 / PL-S1</w:t>
            </w:r>
          </w:p>
        </w:tc>
        <w:tc>
          <w:tcPr>
            <w:tcW w:type="dxa" w:w="2448"/>
            <w:vAlign w:val="center"/>
            <w:tcMar>
              <w:top w:w="85" w:type="dxa"/>
              <w:bottom w:w="85" w:type="dxa"/>
              <w:left w:w="95" w:type="dxa"/>
              <w:right w:w="95" w:type="dxa"/>
            </w:tcMar>
            <w:shd w:fill="FFFFFF"/>
          </w:tcPr>
          <w:p>
            <w:pPr>
              <w:pStyle w:val="TableText"/>
              <w:keepNext w:val="0"/>
              <w:keepLines/>
            </w:pPr>
            <w:r>
              <w:rPr>
                <w:sz w:val="20"/>
              </w:rPr>
              <w:t>Long Shadow Plain</w:t>
            </w:r>
          </w:p>
        </w:tc>
        <w:tc>
          <w:tcPr>
            <w:tcW w:type="dxa" w:w="5717"/>
            <w:vAlign w:val="center"/>
            <w:tcMar>
              <w:top w:w="85" w:type="dxa"/>
              <w:bottom w:w="85" w:type="dxa"/>
              <w:left w:w="95" w:type="dxa"/>
              <w:right w:w="95" w:type="dxa"/>
            </w:tcMar>
            <w:shd w:fill="FFFFFF"/>
          </w:tcPr>
          <w:p>
            <w:pPr>
              <w:pStyle w:val="TableText"/>
              <w:keepNext w:val="0"/>
              <w:keepLines/>
            </w:pPr>
            <w:r>
              <w:rPr>
                <w:sz w:val="20"/>
              </w:rPr>
              <w:t>Restrained landscape and distant light / refuge navigation by landmarks</w:t>
            </w:r>
          </w:p>
        </w:tc>
      </w:tr>
      <w:tr>
        <w:trPr>
          <w:cantSplit/>
        </w:trPr>
        <w:tc>
          <w:tcPr>
            <w:tcW w:type="dxa" w:w="1829"/>
            <w:vAlign w:val="center"/>
            <w:tcMar>
              <w:top w:w="85" w:type="dxa"/>
              <w:bottom w:w="85" w:type="dxa"/>
              <w:left w:w="95" w:type="dxa"/>
              <w:right w:w="95" w:type="dxa"/>
            </w:tcMar>
            <w:shd w:fill="F3F5F6"/>
          </w:tcPr>
          <w:p>
            <w:pPr>
              <w:pStyle w:val="TableText"/>
              <w:keepNext w:val="0"/>
              <w:keepLines/>
              <w:jc w:val="center"/>
            </w:pPr>
            <w:r>
              <w:rPr>
                <w:sz w:val="20"/>
              </w:rPr>
              <w:t>DST07 / PL-L1</w:t>
            </w:r>
          </w:p>
        </w:tc>
        <w:tc>
          <w:tcPr>
            <w:tcW w:type="dxa" w:w="2448"/>
            <w:vAlign w:val="center"/>
            <w:tcMar>
              <w:top w:w="85" w:type="dxa"/>
              <w:bottom w:w="85" w:type="dxa"/>
              <w:left w:w="95" w:type="dxa"/>
              <w:right w:w="95" w:type="dxa"/>
            </w:tcMar>
            <w:shd w:fill="F3F5F6"/>
          </w:tcPr>
          <w:p>
            <w:pPr>
              <w:pStyle w:val="TableText"/>
              <w:keepNext w:val="0"/>
              <w:keepLines/>
            </w:pPr>
            <w:r>
              <w:rPr>
                <w:sz w:val="20"/>
              </w:rPr>
              <w:t>Frost Fold</w:t>
            </w:r>
          </w:p>
        </w:tc>
        <w:tc>
          <w:tcPr>
            <w:tcW w:type="dxa" w:w="5717"/>
            <w:vAlign w:val="center"/>
            <w:tcMar>
              <w:top w:w="85" w:type="dxa"/>
              <w:bottom w:w="85" w:type="dxa"/>
              <w:left w:w="95" w:type="dxa"/>
              <w:right w:w="95" w:type="dxa"/>
            </w:tcMar>
            <w:shd w:fill="F3F5F6"/>
          </w:tcPr>
          <w:p>
            <w:pPr>
              <w:pStyle w:val="TableText"/>
              <w:keepNext w:val="0"/>
              <w:keepLines/>
            </w:pPr>
            <w:r>
              <w:rPr>
                <w:sz w:val="20"/>
              </w:rPr>
              <w:t>Overlapping frozen planes / warm expedition camp in a sheltered fold</w:t>
            </w:r>
          </w:p>
        </w:tc>
      </w:tr>
      <w:tr>
        <w:trPr>
          <w:cantSplit/>
        </w:trPr>
        <w:tc>
          <w:tcPr>
            <w:tcW w:type="dxa" w:w="1829"/>
            <w:vAlign w:val="center"/>
            <w:tcMar>
              <w:top w:w="85" w:type="dxa"/>
              <w:bottom w:w="85" w:type="dxa"/>
              <w:left w:w="95" w:type="dxa"/>
              <w:right w:w="95" w:type="dxa"/>
            </w:tcMar>
            <w:shd w:fill="FFFFFF"/>
          </w:tcPr>
          <w:p>
            <w:pPr>
              <w:pStyle w:val="TableText"/>
              <w:keepNext w:val="0"/>
              <w:keepLines/>
              <w:jc w:val="center"/>
            </w:pPr>
            <w:r>
              <w:rPr>
                <w:sz w:val="20"/>
              </w:rPr>
              <w:t>DST07 / PL-L2</w:t>
            </w:r>
          </w:p>
        </w:tc>
        <w:tc>
          <w:tcPr>
            <w:tcW w:type="dxa" w:w="2448"/>
            <w:vAlign w:val="center"/>
            <w:tcMar>
              <w:top w:w="85" w:type="dxa"/>
              <w:bottom w:w="85" w:type="dxa"/>
              <w:left w:w="95" w:type="dxa"/>
              <w:right w:w="95" w:type="dxa"/>
            </w:tcMar>
            <w:shd w:fill="FFFFFF"/>
          </w:tcPr>
          <w:p>
            <w:pPr>
              <w:pStyle w:val="TableText"/>
              <w:keepNext w:val="0"/>
              <w:keepLines/>
            </w:pPr>
            <w:r>
              <w:rPr>
                <w:sz w:val="20"/>
              </w:rPr>
              <w:t>Nightglass Rifts</w:t>
            </w:r>
          </w:p>
        </w:tc>
        <w:tc>
          <w:tcPr>
            <w:tcW w:type="dxa" w:w="5717"/>
            <w:vAlign w:val="center"/>
            <w:tcMar>
              <w:top w:w="85" w:type="dxa"/>
              <w:bottom w:w="85" w:type="dxa"/>
              <w:left w:w="95" w:type="dxa"/>
              <w:right w:w="95" w:type="dxa"/>
            </w:tcMar>
            <w:shd w:fill="FFFFFF"/>
          </w:tcPr>
          <w:p>
            <w:pPr>
              <w:pStyle w:val="TableText"/>
              <w:keepNext w:val="0"/>
              <w:keepLines/>
            </w:pPr>
            <w:r>
              <w:rPr>
                <w:sz w:val="20"/>
              </w:rPr>
              <w:t>Dark reflective fractures / optical survey along anchored ledges</w:t>
            </w:r>
          </w:p>
        </w:tc>
      </w:tr>
      <w:tr>
        <w:trPr>
          <w:cantSplit/>
        </w:trPr>
        <w:tc>
          <w:tcPr>
            <w:tcW w:type="dxa" w:w="1829"/>
            <w:vAlign w:val="center"/>
            <w:tcMar>
              <w:top w:w="85" w:type="dxa"/>
              <w:bottom w:w="85" w:type="dxa"/>
              <w:left w:w="95" w:type="dxa"/>
              <w:right w:w="95" w:type="dxa"/>
            </w:tcMar>
            <w:shd w:fill="F3F5F6"/>
          </w:tcPr>
          <w:p>
            <w:pPr>
              <w:pStyle w:val="TableText"/>
              <w:keepNext w:val="0"/>
              <w:keepLines/>
              <w:jc w:val="center"/>
            </w:pPr>
            <w:r>
              <w:rPr>
                <w:sz w:val="20"/>
              </w:rPr>
              <w:t>DST07 / PL-L3</w:t>
            </w:r>
          </w:p>
        </w:tc>
        <w:tc>
          <w:tcPr>
            <w:tcW w:type="dxa" w:w="2448"/>
            <w:vAlign w:val="center"/>
            <w:tcMar>
              <w:top w:w="85" w:type="dxa"/>
              <w:bottom w:w="85" w:type="dxa"/>
              <w:left w:w="95" w:type="dxa"/>
              <w:right w:w="95" w:type="dxa"/>
            </w:tcMar>
            <w:shd w:fill="F3F5F6"/>
          </w:tcPr>
          <w:p>
            <w:pPr>
              <w:pStyle w:val="TableText"/>
              <w:keepNext w:val="0"/>
              <w:keepLines/>
            </w:pPr>
            <w:r>
              <w:rPr>
                <w:sz w:val="20"/>
              </w:rPr>
              <w:t>Quiet Lens</w:t>
            </w:r>
          </w:p>
        </w:tc>
        <w:tc>
          <w:tcPr>
            <w:tcW w:type="dxa" w:w="5717"/>
            <w:vAlign w:val="center"/>
            <w:tcMar>
              <w:top w:w="85" w:type="dxa"/>
              <w:bottom w:w="85" w:type="dxa"/>
              <w:left w:w="95" w:type="dxa"/>
              <w:right w:w="95" w:type="dxa"/>
            </w:tcMar>
            <w:shd w:fill="F3F5F6"/>
          </w:tcPr>
          <w:p>
            <w:pPr>
              <w:pStyle w:val="TableText"/>
              <w:keepNext w:val="0"/>
              <w:keepLines/>
            </w:pPr>
            <w:r>
              <w:rPr>
                <w:sz w:val="20"/>
              </w:rPr>
              <w:t>Aligned natural-looking reflective faces / player-built instrument calibration</w:t>
            </w:r>
          </w:p>
        </w:tc>
      </w:tr>
      <w:tr>
        <w:trPr>
          <w:cantSplit/>
        </w:trPr>
        <w:tc>
          <w:tcPr>
            <w:tcW w:type="dxa" w:w="1829"/>
            <w:vAlign w:val="center"/>
            <w:tcMar>
              <w:top w:w="85" w:type="dxa"/>
              <w:bottom w:w="85" w:type="dxa"/>
              <w:left w:w="95" w:type="dxa"/>
              <w:right w:w="95" w:type="dxa"/>
            </w:tcMar>
            <w:shd w:fill="FFFFFF"/>
          </w:tcPr>
          <w:p>
            <w:pPr>
              <w:pStyle w:val="TableText"/>
              <w:keepNext w:val="0"/>
              <w:keepLines/>
              <w:jc w:val="center"/>
            </w:pPr>
            <w:r>
              <w:rPr>
                <w:sz w:val="20"/>
              </w:rPr>
              <w:t>DST08 / CA-S1</w:t>
            </w:r>
          </w:p>
        </w:tc>
        <w:tc>
          <w:tcPr>
            <w:tcW w:type="dxa" w:w="2448"/>
            <w:vAlign w:val="center"/>
            <w:tcMar>
              <w:top w:w="85" w:type="dxa"/>
              <w:bottom w:w="85" w:type="dxa"/>
              <w:left w:w="95" w:type="dxa"/>
              <w:right w:w="95" w:type="dxa"/>
            </w:tcMar>
            <w:shd w:fill="FFFFFF"/>
          </w:tcPr>
          <w:p>
            <w:pPr>
              <w:pStyle w:val="TableText"/>
              <w:keepNext w:val="0"/>
              <w:keepLines/>
            </w:pPr>
            <w:r>
              <w:rPr>
                <w:sz w:val="20"/>
              </w:rPr>
              <w:t>Shard March</w:t>
            </w:r>
          </w:p>
        </w:tc>
        <w:tc>
          <w:tcPr>
            <w:tcW w:type="dxa" w:w="5717"/>
            <w:vAlign w:val="center"/>
            <w:tcMar>
              <w:top w:w="85" w:type="dxa"/>
              <w:bottom w:w="85" w:type="dxa"/>
              <w:left w:w="95" w:type="dxa"/>
              <w:right w:w="95" w:type="dxa"/>
            </w:tcMar>
            <w:shd w:fill="FFFFFF"/>
          </w:tcPr>
          <w:p>
            <w:pPr>
              <w:pStyle w:val="TableText"/>
              <w:keepNext w:val="0"/>
              <w:keepLines/>
            </w:pPr>
            <w:r>
              <w:rPr>
                <w:sz w:val="20"/>
              </w:rPr>
              <w:t>Vast tilted plates / first conventional refuge beneath monumental terrain</w:t>
            </w:r>
          </w:p>
        </w:tc>
      </w:tr>
      <w:tr>
        <w:trPr>
          <w:cantSplit/>
        </w:trPr>
        <w:tc>
          <w:tcPr>
            <w:tcW w:type="dxa" w:w="1829"/>
            <w:vAlign w:val="center"/>
            <w:tcMar>
              <w:top w:w="85" w:type="dxa"/>
              <w:bottom w:w="85" w:type="dxa"/>
              <w:left w:w="95" w:type="dxa"/>
              <w:right w:w="95" w:type="dxa"/>
            </w:tcMar>
            <w:shd w:fill="F3F5F6"/>
          </w:tcPr>
          <w:p>
            <w:pPr>
              <w:pStyle w:val="TableText"/>
              <w:keepNext w:val="0"/>
              <w:keepLines/>
              <w:jc w:val="center"/>
            </w:pPr>
            <w:r>
              <w:rPr>
                <w:sz w:val="20"/>
              </w:rPr>
              <w:t>DST08 / CA-L1</w:t>
            </w:r>
          </w:p>
        </w:tc>
        <w:tc>
          <w:tcPr>
            <w:tcW w:type="dxa" w:w="2448"/>
            <w:vAlign w:val="center"/>
            <w:tcMar>
              <w:top w:w="85" w:type="dxa"/>
              <w:bottom w:w="85" w:type="dxa"/>
              <w:left w:w="95" w:type="dxa"/>
              <w:right w:w="95" w:type="dxa"/>
            </w:tcMar>
            <w:shd w:fill="F3F5F6"/>
          </w:tcPr>
          <w:p>
            <w:pPr>
              <w:pStyle w:val="TableText"/>
              <w:keepNext w:val="0"/>
              <w:keepLines/>
            </w:pPr>
            <w:r>
              <w:rPr>
                <w:sz w:val="20"/>
              </w:rPr>
              <w:t>Inverted Terraces</w:t>
            </w:r>
          </w:p>
        </w:tc>
        <w:tc>
          <w:tcPr>
            <w:tcW w:type="dxa" w:w="5717"/>
            <w:vAlign w:val="center"/>
            <w:tcMar>
              <w:top w:w="85" w:type="dxa"/>
              <w:bottom w:w="85" w:type="dxa"/>
              <w:left w:w="95" w:type="dxa"/>
              <w:right w:w="95" w:type="dxa"/>
            </w:tcMar>
            <w:shd w:fill="F3F5F6"/>
          </w:tcPr>
          <w:p>
            <w:pPr>
              <w:pStyle w:val="TableText"/>
              <w:keepNext w:val="0"/>
              <w:keepLines/>
            </w:pPr>
            <w:r>
              <w:rPr>
                <w:sz w:val="20"/>
              </w:rPr>
              <w:t>Echoing ceiling and floor terraces / constructed bridges joining separated ledges</w:t>
            </w:r>
          </w:p>
        </w:tc>
      </w:tr>
      <w:tr>
        <w:trPr>
          <w:cantSplit/>
        </w:trPr>
        <w:tc>
          <w:tcPr>
            <w:tcW w:type="dxa" w:w="1829"/>
            <w:vAlign w:val="center"/>
            <w:tcMar>
              <w:top w:w="85" w:type="dxa"/>
              <w:bottom w:w="85" w:type="dxa"/>
              <w:left w:w="95" w:type="dxa"/>
              <w:right w:w="95" w:type="dxa"/>
            </w:tcMar>
            <w:shd w:fill="FFFFFF"/>
          </w:tcPr>
          <w:p>
            <w:pPr>
              <w:pStyle w:val="TableText"/>
              <w:keepNext w:val="0"/>
              <w:keepLines/>
              <w:jc w:val="center"/>
            </w:pPr>
            <w:r>
              <w:rPr>
                <w:sz w:val="20"/>
              </w:rPr>
              <w:t>DST08 / CA-L2</w:t>
            </w:r>
          </w:p>
        </w:tc>
        <w:tc>
          <w:tcPr>
            <w:tcW w:type="dxa" w:w="2448"/>
            <w:vAlign w:val="center"/>
            <w:tcMar>
              <w:top w:w="85" w:type="dxa"/>
              <w:bottom w:w="85" w:type="dxa"/>
              <w:left w:w="95" w:type="dxa"/>
              <w:right w:w="95" w:type="dxa"/>
            </w:tcMar>
            <w:shd w:fill="FFFFFF"/>
          </w:tcPr>
          <w:p>
            <w:pPr>
              <w:pStyle w:val="TableText"/>
              <w:keepNext w:val="0"/>
              <w:keepLines/>
            </w:pPr>
            <w:r>
              <w:rPr>
                <w:sz w:val="20"/>
              </w:rPr>
              <w:t>Palimpsest Halls</w:t>
            </w:r>
          </w:p>
        </w:tc>
        <w:tc>
          <w:tcPr>
            <w:tcW w:type="dxa" w:w="5717"/>
            <w:vAlign w:val="center"/>
            <w:tcMar>
              <w:top w:w="85" w:type="dxa"/>
              <w:bottom w:w="85" w:type="dxa"/>
              <w:left w:w="95" w:type="dxa"/>
              <w:right w:w="95" w:type="dxa"/>
            </w:tcMar>
            <w:shd w:fill="FFFFFF"/>
          </w:tcPr>
          <w:p>
            <w:pPr>
              <w:pStyle w:val="TableText"/>
              <w:keepNext w:val="0"/>
              <w:keepLines/>
            </w:pPr>
            <w:r>
              <w:rPr>
                <w:sz w:val="20"/>
              </w:rPr>
              <w:t>Overlapping markings and built-looking strata / comparing incomplete records</w:t>
            </w:r>
          </w:p>
        </w:tc>
      </w:tr>
      <w:tr>
        <w:trPr>
          <w:cantSplit/>
        </w:trPr>
        <w:tc>
          <w:tcPr>
            <w:tcW w:type="dxa" w:w="1829"/>
            <w:vAlign w:val="center"/>
            <w:tcMar>
              <w:top w:w="85" w:type="dxa"/>
              <w:bottom w:w="85" w:type="dxa"/>
              <w:left w:w="95" w:type="dxa"/>
              <w:right w:w="95" w:type="dxa"/>
            </w:tcMar>
            <w:shd w:fill="F3F5F6"/>
          </w:tcPr>
          <w:p>
            <w:pPr>
              <w:pStyle w:val="TableText"/>
              <w:keepNext w:val="0"/>
              <w:keepLines/>
              <w:jc w:val="center"/>
            </w:pPr>
            <w:r>
              <w:rPr>
                <w:sz w:val="20"/>
              </w:rPr>
              <w:t>DST08 / CA-L3</w:t>
            </w:r>
          </w:p>
        </w:tc>
        <w:tc>
          <w:tcPr>
            <w:tcW w:type="dxa" w:w="2448"/>
            <w:vAlign w:val="center"/>
            <w:tcMar>
              <w:top w:w="85" w:type="dxa"/>
              <w:bottom w:w="85" w:type="dxa"/>
              <w:left w:w="95" w:type="dxa"/>
              <w:right w:w="95" w:type="dxa"/>
            </w:tcMar>
            <w:shd w:fill="F3F5F6"/>
          </w:tcPr>
          <w:p>
            <w:pPr>
              <w:pStyle w:val="TableText"/>
              <w:keepNext w:val="0"/>
              <w:keepLines/>
            </w:pPr>
            <w:r>
              <w:rPr>
                <w:sz w:val="20"/>
              </w:rPr>
              <w:t>Witness Engine</w:t>
            </w:r>
          </w:p>
        </w:tc>
        <w:tc>
          <w:tcPr>
            <w:tcW w:type="dxa" w:w="5717"/>
            <w:vAlign w:val="center"/>
            <w:tcMar>
              <w:top w:w="85" w:type="dxa"/>
              <w:bottom w:w="85" w:type="dxa"/>
              <w:left w:w="95" w:type="dxa"/>
              <w:right w:w="95" w:type="dxa"/>
            </w:tcMar>
            <w:shd w:fill="F3F5F6"/>
          </w:tcPr>
          <w:p>
            <w:pPr>
              <w:pStyle w:val="TableText"/>
              <w:keepNext w:val="0"/>
              <w:keepLines/>
            </w:pPr>
            <w:r>
              <w:rPr>
                <w:sz w:val="20"/>
              </w:rPr>
              <w:t>One coherent anomalous installation / bounded shutter-and-beam interaction</w:t>
            </w:r>
          </w:p>
        </w:tc>
      </w:tr>
      <w:tr>
        <w:trPr>
          <w:cantSplit/>
        </w:trPr>
        <w:tc>
          <w:tcPr>
            <w:tcW w:type="dxa" w:w="1829"/>
            <w:vAlign w:val="center"/>
            <w:tcMar>
              <w:top w:w="85" w:type="dxa"/>
              <w:bottom w:w="85" w:type="dxa"/>
              <w:left w:w="95" w:type="dxa"/>
              <w:right w:w="95" w:type="dxa"/>
            </w:tcMar>
            <w:shd w:fill="FFFFFF"/>
          </w:tcPr>
          <w:p>
            <w:pPr>
              <w:pStyle w:val="TableText"/>
              <w:keepNext w:val="0"/>
              <w:keepLines/>
              <w:jc w:val="center"/>
            </w:pPr>
            <w:r>
              <w:rPr>
                <w:sz w:val="20"/>
              </w:rPr>
              <w:t>DST09 / MR-S1</w:t>
            </w:r>
          </w:p>
        </w:tc>
        <w:tc>
          <w:tcPr>
            <w:tcW w:type="dxa" w:w="2448"/>
            <w:vAlign w:val="center"/>
            <w:tcMar>
              <w:top w:w="85" w:type="dxa"/>
              <w:bottom w:w="85" w:type="dxa"/>
              <w:left w:w="95" w:type="dxa"/>
              <w:right w:w="95" w:type="dxa"/>
            </w:tcMar>
            <w:shd w:fill="FFFFFF"/>
          </w:tcPr>
          <w:p>
            <w:pPr>
              <w:pStyle w:val="TableText"/>
              <w:keepNext w:val="0"/>
              <w:keepLines/>
            </w:pPr>
            <w:r>
              <w:rPr>
                <w:sz w:val="20"/>
              </w:rPr>
              <w:t>Dawn Canopy</w:t>
            </w:r>
          </w:p>
        </w:tc>
        <w:tc>
          <w:tcPr>
            <w:tcW w:type="dxa" w:w="5717"/>
            <w:vAlign w:val="center"/>
            <w:tcMar>
              <w:top w:w="85" w:type="dxa"/>
              <w:bottom w:w="85" w:type="dxa"/>
              <w:left w:w="95" w:type="dxa"/>
              <w:right w:w="95" w:type="dxa"/>
            </w:tcMar>
            <w:shd w:fill="FFFFFF"/>
          </w:tcPr>
          <w:p>
            <w:pPr>
              <w:pStyle w:val="TableText"/>
              <w:keepNext w:val="0"/>
              <w:keepLines/>
            </w:pPr>
            <w:r>
              <w:rPr>
                <w:sz w:val="20"/>
              </w:rPr>
              <w:t>Sheltering growth and open stone shelves / cautious first surface survey</w:t>
            </w:r>
          </w:p>
        </w:tc>
      </w:tr>
      <w:tr>
        <w:trPr>
          <w:cantSplit/>
        </w:trPr>
        <w:tc>
          <w:tcPr>
            <w:tcW w:type="dxa" w:w="1829"/>
            <w:vAlign w:val="center"/>
            <w:tcMar>
              <w:top w:w="85" w:type="dxa"/>
              <w:bottom w:w="85" w:type="dxa"/>
              <w:left w:w="95" w:type="dxa"/>
              <w:right w:w="95" w:type="dxa"/>
            </w:tcMar>
            <w:shd w:fill="F3F5F6"/>
          </w:tcPr>
          <w:p>
            <w:pPr>
              <w:pStyle w:val="TableText"/>
              <w:keepNext w:val="0"/>
              <w:keepLines/>
              <w:jc w:val="center"/>
            </w:pPr>
            <w:r>
              <w:rPr>
                <w:sz w:val="20"/>
              </w:rPr>
              <w:t>DST09 / MR-L1</w:t>
            </w:r>
          </w:p>
        </w:tc>
        <w:tc>
          <w:tcPr>
            <w:tcW w:type="dxa" w:w="2448"/>
            <w:vAlign w:val="center"/>
            <w:tcMar>
              <w:top w:w="85" w:type="dxa"/>
              <w:bottom w:w="85" w:type="dxa"/>
              <w:left w:w="95" w:type="dxa"/>
              <w:right w:w="95" w:type="dxa"/>
            </w:tcMar>
            <w:shd w:fill="F3F5F6"/>
          </w:tcPr>
          <w:p>
            <w:pPr>
              <w:pStyle w:val="TableText"/>
              <w:keepNext w:val="0"/>
              <w:keepLines/>
            </w:pPr>
            <w:r>
              <w:rPr>
                <w:sz w:val="20"/>
              </w:rPr>
              <w:t>Rooted Vaults</w:t>
            </w:r>
          </w:p>
        </w:tc>
        <w:tc>
          <w:tcPr>
            <w:tcW w:type="dxa" w:w="5717"/>
            <w:vAlign w:val="center"/>
            <w:tcMar>
              <w:top w:w="85" w:type="dxa"/>
              <w:bottom w:w="85" w:type="dxa"/>
              <w:left w:w="95" w:type="dxa"/>
              <w:right w:w="95" w:type="dxa"/>
            </w:tcMar>
            <w:shd w:fill="F3F5F6"/>
          </w:tcPr>
          <w:p>
            <w:pPr>
              <w:pStyle w:val="TableText"/>
              <w:keepNext w:val="0"/>
              <w:keepLines/>
            </w:pPr>
            <w:r>
              <w:rPr>
                <w:sz w:val="20"/>
              </w:rPr>
              <w:t>Structural growth threaded through rock / careful climbing and sampling</w:t>
            </w:r>
          </w:p>
        </w:tc>
      </w:tr>
      <w:tr>
        <w:trPr>
          <w:cantSplit/>
        </w:trPr>
        <w:tc>
          <w:tcPr>
            <w:tcW w:type="dxa" w:w="1829"/>
            <w:vAlign w:val="center"/>
            <w:tcMar>
              <w:top w:w="85" w:type="dxa"/>
              <w:bottom w:w="85" w:type="dxa"/>
              <w:left w:w="95" w:type="dxa"/>
              <w:right w:w="95" w:type="dxa"/>
            </w:tcMar>
            <w:shd w:fill="FFFFFF"/>
          </w:tcPr>
          <w:p>
            <w:pPr>
              <w:pStyle w:val="TableText"/>
              <w:keepNext w:val="0"/>
              <w:keepLines/>
              <w:jc w:val="center"/>
            </w:pPr>
            <w:r>
              <w:rPr>
                <w:sz w:val="20"/>
              </w:rPr>
              <w:t>DST09 / MR-L2</w:t>
            </w:r>
          </w:p>
        </w:tc>
        <w:tc>
          <w:tcPr>
            <w:tcW w:type="dxa" w:w="2448"/>
            <w:vAlign w:val="center"/>
            <w:tcMar>
              <w:top w:w="85" w:type="dxa"/>
              <w:bottom w:w="85" w:type="dxa"/>
              <w:left w:w="95" w:type="dxa"/>
              <w:right w:w="95" w:type="dxa"/>
            </w:tcMar>
            <w:shd w:fill="FFFFFF"/>
          </w:tcPr>
          <w:p>
            <w:pPr>
              <w:pStyle w:val="TableText"/>
              <w:keepNext w:val="0"/>
              <w:keepLines/>
            </w:pPr>
            <w:r>
              <w:rPr>
                <w:sz w:val="20"/>
              </w:rPr>
              <w:t>Tide Orchards</w:t>
            </w:r>
          </w:p>
        </w:tc>
        <w:tc>
          <w:tcPr>
            <w:tcW w:type="dxa" w:w="5717"/>
            <w:vAlign w:val="center"/>
            <w:tcMar>
              <w:top w:w="85" w:type="dxa"/>
              <w:bottom w:w="85" w:type="dxa"/>
              <w:left w:w="95" w:type="dxa"/>
              <w:right w:w="95" w:type="dxa"/>
            </w:tcMar>
            <w:shd w:fill="FFFFFF"/>
          </w:tcPr>
          <w:p>
            <w:pPr>
              <w:pStyle w:val="TableText"/>
              <w:keepNext w:val="0"/>
              <w:keepLines/>
            </w:pPr>
            <w:r>
              <w:rPr>
                <w:sz w:val="20"/>
              </w:rPr>
              <w:t>Living basins and periodic flows / raised crossings at a changing route</w:t>
            </w:r>
          </w:p>
        </w:tc>
      </w:tr>
      <w:tr>
        <w:trPr>
          <w:cantSplit/>
        </w:trPr>
        <w:tc>
          <w:tcPr>
            <w:tcW w:type="dxa" w:w="1829"/>
            <w:vAlign w:val="center"/>
            <w:tcMar>
              <w:top w:w="85" w:type="dxa"/>
              <w:bottom w:w="85" w:type="dxa"/>
              <w:left w:w="95" w:type="dxa"/>
              <w:right w:w="95" w:type="dxa"/>
            </w:tcMar>
            <w:shd w:fill="F3F5F6"/>
          </w:tcPr>
          <w:p>
            <w:pPr>
              <w:pStyle w:val="TableText"/>
              <w:keepNext w:val="0"/>
              <w:keepLines/>
              <w:jc w:val="center"/>
            </w:pPr>
            <w:r>
              <w:rPr>
                <w:sz w:val="20"/>
              </w:rPr>
              <w:t>DST09 / MR-L3</w:t>
            </w:r>
          </w:p>
        </w:tc>
        <w:tc>
          <w:tcPr>
            <w:tcW w:type="dxa" w:w="2448"/>
            <w:vAlign w:val="center"/>
            <w:tcMar>
              <w:top w:w="85" w:type="dxa"/>
              <w:bottom w:w="85" w:type="dxa"/>
              <w:left w:w="95" w:type="dxa"/>
              <w:right w:w="95" w:type="dxa"/>
            </w:tcMar>
            <w:shd w:fill="F3F5F6"/>
          </w:tcPr>
          <w:p>
            <w:pPr>
              <w:pStyle w:val="TableText"/>
              <w:keepNext w:val="0"/>
              <w:keepLines/>
            </w:pPr>
            <w:r>
              <w:rPr>
                <w:sz w:val="20"/>
              </w:rPr>
              <w:t>Hearthsea</w:t>
            </w:r>
          </w:p>
        </w:tc>
        <w:tc>
          <w:tcPr>
            <w:tcW w:type="dxa" w:w="5717"/>
            <w:vAlign w:val="center"/>
            <w:tcMar>
              <w:top w:w="85" w:type="dxa"/>
              <w:bottom w:w="85" w:type="dxa"/>
              <w:left w:w="95" w:type="dxa"/>
              <w:right w:w="95" w:type="dxa"/>
            </w:tcMar>
            <w:shd w:fill="F3F5F6"/>
          </w:tcPr>
          <w:p>
            <w:pPr>
              <w:pStyle w:val="TableText"/>
              <w:keepNext w:val="0"/>
              <w:keepLines/>
            </w:pPr>
            <w:r>
              <w:rPr>
                <w:sz w:val="20"/>
              </w:rPr>
              <w:t>Luminous waters, islands, and expansive colonies / conservatory community at work</w:t>
            </w:r>
          </w:p>
        </w:tc>
      </w:tr>
    </w:tbl>
    <w:p>
      <w:pPr>
        <w:spacing w:after="0" w:before="0" w:line="60" w:lineRule="exact"/>
      </w:pPr>
      <w:r>
        <w:rPr>
          <w:sz w:val="6"/>
        </w:rPr>
      </w:r>
    </w:p>
    <w:p>
      <w:pPr/>
      <w:r>
        <w:t xml:space="preserve">Destination mapping: </w:t>
      </w:r>
      <w:r>
        <w:rPr>
          <w:b/>
        </w:rPr>
        <w:t>DST01 Moon; DST02 Mars; DST03 Ceres; DST04 Europa; DST05 Io; DST06 Titan; DST07 Pluto; DST08 Cairn; DST09 Morrow</w:t>
      </w:r>
      <w:r>
        <w:t>. Cairn and Morrow belong to the proposed Afterlight System.</w:t>
      </w:r>
    </w:p>
    <w:p>
      <w:pPr/>
      <w:r>
        <w:t xml:space="preserve">Additional state subjects use the same region ID: </w:t>
      </w:r>
      <w:r>
        <w:rPr>
          <w:b/>
        </w:rPr>
        <w:t>DST02-MA-S1-ST1/ST2</w:t>
      </w:r>
      <w:r>
        <w:t xml:space="preserve">, approaching dust front and sheltered aftermath; </w:t>
      </w:r>
      <w:r>
        <w:rPr>
          <w:b/>
        </w:rPr>
        <w:t>DST05-IO-L2-ST1/ST2</w:t>
      </w:r>
      <w:r>
        <w:t xml:space="preserve">, quiet and active Pressure Orchards; </w:t>
      </w:r>
      <w:r>
        <w:rPr>
          <w:b/>
        </w:rPr>
        <w:t>DST06-TI-L2-ST1/ST2</w:t>
      </w:r>
      <w:r>
        <w:t xml:space="preserve">, obscured and clear Hollow Weather; </w:t>
      </w:r>
      <w:r>
        <w:rPr>
          <w:b/>
        </w:rPr>
        <w:t>DST09-MR-L2-ST1/ST2</w:t>
      </w:r>
      <w:r>
        <w:t>, closed and open Tide Orchards. These paired images must preserve viewpoint and landmarks so changes can be compared.</w:t>
      </w:r>
    </w:p>
    <w:p>
      <w:pPr>
        <w:pStyle w:val="Heading3"/>
      </w:pPr>
      <w:r>
        <w:t>Spacecraft six hull families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864"/>
        <w:gridCol w:w="1728"/>
        <w:gridCol w:w="1814"/>
        <w:gridCol w:w="5587"/>
      </w:tblGrid>
      <w:tr>
        <w:trPr>
          <w:cantSplit/>
          <w:tblHeader w:val="true"/>
        </w:trPr>
        <w:tc>
          <w:tcPr>
            <w:tcW w:type="dxa" w:w="864"/>
            <w:vAlign w:val="center"/>
            <w:tcMar>
              <w:top w:w="85" w:type="dxa"/>
              <w:bottom w:w="85" w:type="dxa"/>
              <w:left w:w="95" w:type="dxa"/>
              <w:right w:w="95" w:type="dxa"/>
            </w:tcMar>
            <w:shd w:fill="233544"/>
          </w:tcPr>
          <w:p>
            <w:pPr>
              <w:pStyle w:val="TableText"/>
              <w:keepNext w:val="0"/>
              <w:keepLines/>
              <w:jc w:val="center"/>
            </w:pPr>
            <w:r>
              <w:rPr>
                <w:b/>
                <w:color w:val="FFFFFF"/>
                <w:sz w:val="20"/>
              </w:rPr>
              <w:t>ID</w:t>
            </w:r>
          </w:p>
        </w:tc>
        <w:tc>
          <w:tcPr>
            <w:tcW w:type="dxa" w:w="1728"/>
            <w:vAlign w:val="center"/>
            <w:tcMar>
              <w:top w:w="85" w:type="dxa"/>
              <w:bottom w:w="85" w:type="dxa"/>
              <w:left w:w="95" w:type="dxa"/>
              <w:right w:w="95" w:type="dxa"/>
            </w:tcMar>
            <w:shd w:fill="233544"/>
          </w:tcPr>
          <w:p>
            <w:pPr>
              <w:pStyle w:val="TableText"/>
              <w:keepNext w:val="0"/>
              <w:keepLines/>
            </w:pPr>
            <w:r>
              <w:rPr>
                <w:b/>
                <w:color w:val="FFFFFF"/>
                <w:sz w:val="20"/>
              </w:rPr>
              <w:t>Inherited class</w:t>
            </w:r>
          </w:p>
        </w:tc>
        <w:tc>
          <w:tcPr>
            <w:tcW w:type="dxa" w:w="1814"/>
            <w:vAlign w:val="center"/>
            <w:tcMar>
              <w:top w:w="85" w:type="dxa"/>
              <w:bottom w:w="85" w:type="dxa"/>
              <w:left w:w="95" w:type="dxa"/>
              <w:right w:w="95" w:type="dxa"/>
            </w:tcMar>
            <w:shd w:fill="233544"/>
          </w:tcPr>
          <w:p>
            <w:pPr>
              <w:pStyle w:val="TableText"/>
              <w:keepNext w:val="0"/>
              <w:keepLines/>
            </w:pPr>
            <w:r>
              <w:rPr>
                <w:b/>
                <w:color w:val="FFFFFF"/>
                <w:sz w:val="20"/>
              </w:rPr>
              <w:t>Proposed hull</w:t>
            </w:r>
          </w:p>
        </w:tc>
        <w:tc>
          <w:tcPr>
            <w:tcW w:type="dxa" w:w="5587"/>
            <w:vAlign w:val="center"/>
            <w:tcMar>
              <w:top w:w="85" w:type="dxa"/>
              <w:bottom w:w="85" w:type="dxa"/>
              <w:left w:w="95" w:type="dxa"/>
              <w:right w:w="95" w:type="dxa"/>
            </w:tcMar>
            <w:shd w:fill="233544"/>
          </w:tcPr>
          <w:p>
            <w:pPr>
              <w:pStyle w:val="TableText"/>
              <w:keepNext w:val="0"/>
              <w:keepLines/>
            </w:pPr>
            <w:r>
              <w:rPr>
                <w:b/>
                <w:color w:val="FFFFFF"/>
                <w:sz w:val="20"/>
              </w:rPr>
              <w:t>Distinguishing visual requirement</w:t>
            </w:r>
          </w:p>
        </w:tc>
      </w:tr>
      <w:tr>
        <w:trPr>
          <w:cantSplit/>
        </w:trPr>
        <w:tc>
          <w:tcPr>
            <w:tcW w:type="dxa" w:w="864"/>
            <w:vAlign w:val="center"/>
            <w:tcMar>
              <w:top w:w="85" w:type="dxa"/>
              <w:bottom w:w="85" w:type="dxa"/>
              <w:left w:w="95" w:type="dxa"/>
              <w:right w:w="95" w:type="dxa"/>
            </w:tcMar>
            <w:shd w:fill="FFFFFF"/>
          </w:tcPr>
          <w:p>
            <w:pPr>
              <w:pStyle w:val="TableText"/>
              <w:keepNext w:val="0"/>
              <w:keepLines/>
              <w:jc w:val="center"/>
            </w:pPr>
            <w:r>
              <w:rPr>
                <w:sz w:val="20"/>
              </w:rPr>
              <w:t>HUL01</w:t>
            </w:r>
          </w:p>
        </w:tc>
        <w:tc>
          <w:tcPr>
            <w:tcW w:type="dxa" w:w="1728"/>
            <w:vAlign w:val="center"/>
            <w:tcMar>
              <w:top w:w="85" w:type="dxa"/>
              <w:bottom w:w="85" w:type="dxa"/>
              <w:left w:w="95" w:type="dxa"/>
              <w:right w:w="95" w:type="dxa"/>
            </w:tcMar>
            <w:shd w:fill="FFFFFF"/>
          </w:tcPr>
          <w:p>
            <w:pPr>
              <w:pStyle w:val="TableText"/>
              <w:keepNext w:val="0"/>
              <w:keepLines/>
            </w:pPr>
            <w:r>
              <w:rPr>
                <w:sz w:val="20"/>
              </w:rPr>
              <w:t>Atmospheric</w:t>
            </w:r>
          </w:p>
        </w:tc>
        <w:tc>
          <w:tcPr>
            <w:tcW w:type="dxa" w:w="1814"/>
            <w:vAlign w:val="center"/>
            <w:tcMar>
              <w:top w:w="85" w:type="dxa"/>
              <w:bottom w:w="85" w:type="dxa"/>
              <w:left w:w="95" w:type="dxa"/>
              <w:right w:w="95" w:type="dxa"/>
            </w:tcMar>
            <w:shd w:fill="FFFFFF"/>
          </w:tcPr>
          <w:p>
            <w:pPr>
              <w:pStyle w:val="TableText"/>
              <w:keepNext w:val="0"/>
              <w:keepLines/>
            </w:pPr>
            <w:r>
              <w:rPr>
                <w:sz w:val="20"/>
              </w:rPr>
              <w:t>Lark</w:t>
            </w:r>
          </w:p>
        </w:tc>
        <w:tc>
          <w:tcPr>
            <w:tcW w:type="dxa" w:w="5587"/>
            <w:vAlign w:val="center"/>
            <w:tcMar>
              <w:top w:w="85" w:type="dxa"/>
              <w:bottom w:w="85" w:type="dxa"/>
              <w:left w:w="95" w:type="dxa"/>
              <w:right w:w="95" w:type="dxa"/>
            </w:tcMar>
            <w:shd w:fill="FFFFFF"/>
          </w:tcPr>
          <w:p>
            <w:pPr>
              <w:pStyle w:val="TableText"/>
              <w:keepNext w:val="0"/>
              <w:keepLines/>
            </w:pPr>
            <w:r>
              <w:rPr>
                <w:sz w:val="20"/>
              </w:rPr>
              <w:t>Compact work craft, broad stabilizing forms, landing feet, visible load rack</w:t>
            </w:r>
          </w:p>
        </w:tc>
      </w:tr>
      <w:tr>
        <w:trPr>
          <w:cantSplit/>
        </w:trPr>
        <w:tc>
          <w:tcPr>
            <w:tcW w:type="dxa" w:w="864"/>
            <w:vAlign w:val="center"/>
            <w:tcMar>
              <w:top w:w="85" w:type="dxa"/>
              <w:bottom w:w="85" w:type="dxa"/>
              <w:left w:w="95" w:type="dxa"/>
              <w:right w:w="95" w:type="dxa"/>
            </w:tcMar>
            <w:shd w:fill="F3F5F6"/>
          </w:tcPr>
          <w:p>
            <w:pPr>
              <w:pStyle w:val="TableText"/>
              <w:keepNext w:val="0"/>
              <w:keepLines/>
              <w:jc w:val="center"/>
            </w:pPr>
            <w:r>
              <w:rPr>
                <w:sz w:val="20"/>
              </w:rPr>
              <w:t>HUL02</w:t>
            </w:r>
          </w:p>
        </w:tc>
        <w:tc>
          <w:tcPr>
            <w:tcW w:type="dxa" w:w="1728"/>
            <w:vAlign w:val="center"/>
            <w:tcMar>
              <w:top w:w="85" w:type="dxa"/>
              <w:bottom w:w="85" w:type="dxa"/>
              <w:left w:w="95" w:type="dxa"/>
              <w:right w:w="95" w:type="dxa"/>
            </w:tcMar>
            <w:shd w:fill="F3F5F6"/>
          </w:tcPr>
          <w:p>
            <w:pPr>
              <w:pStyle w:val="TableText"/>
              <w:keepNext w:val="0"/>
              <w:keepLines/>
            </w:pPr>
            <w:r>
              <w:rPr>
                <w:sz w:val="20"/>
              </w:rPr>
              <w:t>Orbital</w:t>
            </w:r>
          </w:p>
        </w:tc>
        <w:tc>
          <w:tcPr>
            <w:tcW w:type="dxa" w:w="1814"/>
            <w:vAlign w:val="center"/>
            <w:tcMar>
              <w:top w:w="85" w:type="dxa"/>
              <w:bottom w:w="85" w:type="dxa"/>
              <w:left w:w="95" w:type="dxa"/>
              <w:right w:w="95" w:type="dxa"/>
            </w:tcMar>
            <w:shd w:fill="F3F5F6"/>
          </w:tcPr>
          <w:p>
            <w:pPr>
              <w:pStyle w:val="TableText"/>
              <w:keepNext w:val="0"/>
              <w:keepLines/>
            </w:pPr>
            <w:r>
              <w:rPr>
                <w:sz w:val="20"/>
              </w:rPr>
              <w:t>Keel</w:t>
            </w:r>
          </w:p>
        </w:tc>
        <w:tc>
          <w:tcPr>
            <w:tcW w:type="dxa" w:w="5587"/>
            <w:vAlign w:val="center"/>
            <w:tcMar>
              <w:top w:w="85" w:type="dxa"/>
              <w:bottom w:w="85" w:type="dxa"/>
              <w:left w:w="95" w:type="dxa"/>
              <w:right w:w="95" w:type="dxa"/>
            </w:tcMar>
            <w:shd w:fill="F3F5F6"/>
          </w:tcPr>
          <w:p>
            <w:pPr>
              <w:pStyle w:val="TableText"/>
              <w:keepNext w:val="0"/>
              <w:keepLines/>
            </w:pPr>
            <w:r>
              <w:rPr>
                <w:sz w:val="20"/>
              </w:rPr>
              <w:t>Upright launch spine, distinct capsule, service body, clearly legible payload zone</w:t>
            </w:r>
          </w:p>
        </w:tc>
      </w:tr>
      <w:tr>
        <w:trPr>
          <w:cantSplit/>
        </w:trPr>
        <w:tc>
          <w:tcPr>
            <w:tcW w:type="dxa" w:w="864"/>
            <w:vAlign w:val="center"/>
            <w:tcMar>
              <w:top w:w="85" w:type="dxa"/>
              <w:bottom w:w="85" w:type="dxa"/>
              <w:left w:w="95" w:type="dxa"/>
              <w:right w:w="95" w:type="dxa"/>
            </w:tcMar>
            <w:shd w:fill="FFFFFF"/>
          </w:tcPr>
          <w:p>
            <w:pPr>
              <w:pStyle w:val="TableText"/>
              <w:keepNext w:val="0"/>
              <w:keepLines/>
              <w:jc w:val="center"/>
            </w:pPr>
            <w:r>
              <w:rPr>
                <w:sz w:val="20"/>
              </w:rPr>
              <w:t>HUL03</w:t>
            </w:r>
          </w:p>
        </w:tc>
        <w:tc>
          <w:tcPr>
            <w:tcW w:type="dxa" w:w="1728"/>
            <w:vAlign w:val="center"/>
            <w:tcMar>
              <w:top w:w="85" w:type="dxa"/>
              <w:bottom w:w="85" w:type="dxa"/>
              <w:left w:w="95" w:type="dxa"/>
              <w:right w:w="95" w:type="dxa"/>
            </w:tcMar>
            <w:shd w:fill="FFFFFF"/>
          </w:tcPr>
          <w:p>
            <w:pPr>
              <w:pStyle w:val="TableText"/>
              <w:keepNext w:val="0"/>
              <w:keepLines/>
            </w:pPr>
            <w:r>
              <w:rPr>
                <w:sz w:val="20"/>
              </w:rPr>
              <w:t>Lunar</w:t>
            </w:r>
          </w:p>
        </w:tc>
        <w:tc>
          <w:tcPr>
            <w:tcW w:type="dxa" w:w="1814"/>
            <w:vAlign w:val="center"/>
            <w:tcMar>
              <w:top w:w="85" w:type="dxa"/>
              <w:bottom w:w="85" w:type="dxa"/>
              <w:left w:w="95" w:type="dxa"/>
              <w:right w:w="95" w:type="dxa"/>
            </w:tcMar>
            <w:shd w:fill="FFFFFF"/>
          </w:tcPr>
          <w:p>
            <w:pPr>
              <w:pStyle w:val="TableText"/>
              <w:keepNext w:val="0"/>
              <w:keepLines/>
            </w:pPr>
            <w:r>
              <w:rPr>
                <w:sz w:val="20"/>
              </w:rPr>
              <w:t>Pilgrim</w:t>
            </w:r>
          </w:p>
        </w:tc>
        <w:tc>
          <w:tcPr>
            <w:tcW w:type="dxa" w:w="5587"/>
            <w:vAlign w:val="center"/>
            <w:tcMar>
              <w:top w:w="85" w:type="dxa"/>
              <w:bottom w:w="85" w:type="dxa"/>
              <w:left w:w="95" w:type="dxa"/>
              <w:right w:w="95" w:type="dxa"/>
            </w:tcMar>
            <w:shd w:fill="FFFFFF"/>
          </w:tcPr>
          <w:p>
            <w:pPr>
              <w:pStyle w:val="TableText"/>
              <w:keepNext w:val="0"/>
              <w:keepLines/>
            </w:pPr>
            <w:r>
              <w:rPr>
                <w:sz w:val="20"/>
              </w:rPr>
              <w:t>Squat broad-footed lander, side airlock, lamps, accessible equipment shelves</w:t>
            </w:r>
          </w:p>
        </w:tc>
      </w:tr>
      <w:tr>
        <w:trPr>
          <w:cantSplit/>
        </w:trPr>
        <w:tc>
          <w:tcPr>
            <w:tcW w:type="dxa" w:w="864"/>
            <w:vAlign w:val="center"/>
            <w:tcMar>
              <w:top w:w="85" w:type="dxa"/>
              <w:bottom w:w="85" w:type="dxa"/>
              <w:left w:w="95" w:type="dxa"/>
              <w:right w:w="95" w:type="dxa"/>
            </w:tcMar>
            <w:shd w:fill="F3F5F6"/>
          </w:tcPr>
          <w:p>
            <w:pPr>
              <w:pStyle w:val="TableText"/>
              <w:keepNext w:val="0"/>
              <w:keepLines/>
              <w:jc w:val="center"/>
            </w:pPr>
            <w:r>
              <w:rPr>
                <w:sz w:val="20"/>
              </w:rPr>
              <w:t>HUL04</w:t>
            </w:r>
          </w:p>
        </w:tc>
        <w:tc>
          <w:tcPr>
            <w:tcW w:type="dxa" w:w="1728"/>
            <w:vAlign w:val="center"/>
            <w:tcMar>
              <w:top w:w="85" w:type="dxa"/>
              <w:bottom w:w="85" w:type="dxa"/>
              <w:left w:w="95" w:type="dxa"/>
              <w:right w:w="95" w:type="dxa"/>
            </w:tcMar>
            <w:shd w:fill="F3F5F6"/>
          </w:tcPr>
          <w:p>
            <w:pPr>
              <w:pStyle w:val="TableText"/>
              <w:keepNext w:val="0"/>
              <w:keepLines/>
            </w:pPr>
            <w:r>
              <w:rPr>
                <w:sz w:val="20"/>
              </w:rPr>
              <w:t>Interplanetary</w:t>
            </w:r>
          </w:p>
        </w:tc>
        <w:tc>
          <w:tcPr>
            <w:tcW w:type="dxa" w:w="1814"/>
            <w:vAlign w:val="center"/>
            <w:tcMar>
              <w:top w:w="85" w:type="dxa"/>
              <w:bottom w:w="85" w:type="dxa"/>
              <w:left w:w="95" w:type="dxa"/>
              <w:right w:w="95" w:type="dxa"/>
            </w:tcMar>
            <w:shd w:fill="F3F5F6"/>
          </w:tcPr>
          <w:p>
            <w:pPr>
              <w:pStyle w:val="TableText"/>
              <w:keepNext w:val="0"/>
              <w:keepLines/>
            </w:pPr>
            <w:r>
              <w:rPr>
                <w:sz w:val="20"/>
              </w:rPr>
              <w:t>Peregrine</w:t>
            </w:r>
          </w:p>
        </w:tc>
        <w:tc>
          <w:tcPr>
            <w:tcW w:type="dxa" w:w="5587"/>
            <w:vAlign w:val="center"/>
            <w:tcMar>
              <w:top w:w="85" w:type="dxa"/>
              <w:bottom w:w="85" w:type="dxa"/>
              <w:left w:w="95" w:type="dxa"/>
              <w:right w:w="95" w:type="dxa"/>
            </w:tcMar>
            <w:shd w:fill="F3F5F6"/>
          </w:tcPr>
          <w:p>
            <w:pPr>
              <w:pStyle w:val="TableText"/>
              <w:keepNext w:val="0"/>
              <w:keepLines/>
            </w:pPr>
            <w:r>
              <w:rPr>
                <w:sz w:val="20"/>
              </w:rPr>
              <w:t>Long expedition body, rover bay, repairable frame, separated cabin and workshop</w:t>
            </w:r>
          </w:p>
        </w:tc>
      </w:tr>
      <w:tr>
        <w:trPr>
          <w:cantSplit/>
        </w:trPr>
        <w:tc>
          <w:tcPr>
            <w:tcW w:type="dxa" w:w="864"/>
            <w:vAlign w:val="center"/>
            <w:tcMar>
              <w:top w:w="85" w:type="dxa"/>
              <w:bottom w:w="85" w:type="dxa"/>
              <w:left w:w="95" w:type="dxa"/>
              <w:right w:w="95" w:type="dxa"/>
            </w:tcMar>
            <w:shd w:fill="FFFFFF"/>
          </w:tcPr>
          <w:p>
            <w:pPr>
              <w:pStyle w:val="TableText"/>
              <w:keepNext w:val="0"/>
              <w:keepLines/>
              <w:jc w:val="center"/>
            </w:pPr>
            <w:r>
              <w:rPr>
                <w:sz w:val="20"/>
              </w:rPr>
              <w:t>HUL05</w:t>
            </w:r>
          </w:p>
        </w:tc>
        <w:tc>
          <w:tcPr>
            <w:tcW w:type="dxa" w:w="1728"/>
            <w:vAlign w:val="center"/>
            <w:tcMar>
              <w:top w:w="85" w:type="dxa"/>
              <w:bottom w:w="85" w:type="dxa"/>
              <w:left w:w="95" w:type="dxa"/>
              <w:right w:w="95" w:type="dxa"/>
            </w:tcMar>
            <w:shd w:fill="FFFFFF"/>
          </w:tcPr>
          <w:p>
            <w:pPr>
              <w:pStyle w:val="TableText"/>
              <w:keepNext w:val="0"/>
              <w:keepLines/>
            </w:pPr>
            <w:r>
              <w:rPr>
                <w:sz w:val="20"/>
              </w:rPr>
              <w:t>Deep-Space</w:t>
            </w:r>
          </w:p>
        </w:tc>
        <w:tc>
          <w:tcPr>
            <w:tcW w:type="dxa" w:w="1814"/>
            <w:vAlign w:val="center"/>
            <w:tcMar>
              <w:top w:w="85" w:type="dxa"/>
              <w:bottom w:w="85" w:type="dxa"/>
              <w:left w:w="95" w:type="dxa"/>
              <w:right w:w="95" w:type="dxa"/>
            </w:tcMar>
            <w:shd w:fill="FFFFFF"/>
          </w:tcPr>
          <w:p>
            <w:pPr>
              <w:pStyle w:val="TableText"/>
              <w:keepNext w:val="0"/>
              <w:keepLines/>
            </w:pPr>
            <w:r>
              <w:rPr>
                <w:sz w:val="20"/>
              </w:rPr>
              <w:t>Hearth</w:t>
            </w:r>
          </w:p>
        </w:tc>
        <w:tc>
          <w:tcPr>
            <w:tcW w:type="dxa" w:w="5587"/>
            <w:vAlign w:val="center"/>
            <w:tcMar>
              <w:top w:w="85" w:type="dxa"/>
              <w:bottom w:w="85" w:type="dxa"/>
              <w:left w:w="95" w:type="dxa"/>
              <w:right w:w="95" w:type="dxa"/>
            </w:tcMar>
            <w:shd w:fill="FFFFFF"/>
          </w:tcPr>
          <w:p>
            <w:pPr>
              <w:pStyle w:val="TableText"/>
              <w:keepNext w:val="0"/>
              <w:keepLines/>
            </w:pPr>
            <w:r>
              <w:rPr>
                <w:sz w:val="20"/>
              </w:rPr>
              <w:t>Protected habitat, specialized service modules, laboratory, rescue and cargo options</w:t>
            </w:r>
          </w:p>
        </w:tc>
      </w:tr>
      <w:tr>
        <w:trPr>
          <w:cantSplit/>
        </w:trPr>
        <w:tc>
          <w:tcPr>
            <w:tcW w:type="dxa" w:w="864"/>
            <w:vAlign w:val="center"/>
            <w:tcMar>
              <w:top w:w="85" w:type="dxa"/>
              <w:bottom w:w="85" w:type="dxa"/>
              <w:left w:w="95" w:type="dxa"/>
              <w:right w:w="95" w:type="dxa"/>
            </w:tcMar>
            <w:shd w:fill="F3F5F6"/>
          </w:tcPr>
          <w:p>
            <w:pPr>
              <w:pStyle w:val="TableText"/>
              <w:keepNext w:val="0"/>
              <w:keepLines/>
              <w:jc w:val="center"/>
            </w:pPr>
            <w:r>
              <w:rPr>
                <w:sz w:val="20"/>
              </w:rPr>
              <w:t>HUL06</w:t>
            </w:r>
          </w:p>
        </w:tc>
        <w:tc>
          <w:tcPr>
            <w:tcW w:type="dxa" w:w="1728"/>
            <w:vAlign w:val="center"/>
            <w:tcMar>
              <w:top w:w="85" w:type="dxa"/>
              <w:bottom w:w="85" w:type="dxa"/>
              <w:left w:w="95" w:type="dxa"/>
              <w:right w:w="95" w:type="dxa"/>
            </w:tcMar>
            <w:shd w:fill="F3F5F6"/>
          </w:tcPr>
          <w:p>
            <w:pPr>
              <w:pStyle w:val="TableText"/>
              <w:keepNext w:val="0"/>
              <w:keepLines/>
            </w:pPr>
            <w:r>
              <w:rPr>
                <w:sz w:val="20"/>
              </w:rPr>
              <w:t>Interstellar</w:t>
            </w:r>
          </w:p>
        </w:tc>
        <w:tc>
          <w:tcPr>
            <w:tcW w:type="dxa" w:w="1814"/>
            <w:vAlign w:val="center"/>
            <w:tcMar>
              <w:top w:w="85" w:type="dxa"/>
              <w:bottom w:w="85" w:type="dxa"/>
              <w:left w:w="95" w:type="dxa"/>
              <w:right w:w="95" w:type="dxa"/>
            </w:tcMar>
            <w:shd w:fill="F3F5F6"/>
          </w:tcPr>
          <w:p>
            <w:pPr>
              <w:pStyle w:val="TableText"/>
              <w:keepNext w:val="0"/>
              <w:keepLines/>
            </w:pPr>
            <w:r>
              <w:rPr>
                <w:sz w:val="20"/>
              </w:rPr>
              <w:t>Far Lantern</w:t>
            </w:r>
          </w:p>
        </w:tc>
        <w:tc>
          <w:tcPr>
            <w:tcW w:type="dxa" w:w="5587"/>
            <w:vAlign w:val="center"/>
            <w:tcMar>
              <w:top w:w="85" w:type="dxa"/>
              <w:bottom w:w="85" w:type="dxa"/>
              <w:left w:w="95" w:type="dxa"/>
              <w:right w:w="95" w:type="dxa"/>
            </w:tcMar>
            <w:shd w:fill="F3F5F6"/>
          </w:tcPr>
          <w:p>
            <w:pPr>
              <w:pStyle w:val="TableText"/>
              <w:keepNext w:val="0"/>
              <w:keepLines/>
            </w:pPr>
            <w:r>
              <w:rPr>
                <w:sz w:val="20"/>
              </w:rPr>
              <w:t>Coherent expedition vessel, substantial habitat, observatory, bounded navigation assembly</w:t>
            </w:r>
          </w:p>
        </w:tc>
      </w:tr>
    </w:tbl>
    <w:p>
      <w:pPr>
        <w:spacing w:after="0" w:before="0" w:line="60" w:lineRule="exact"/>
      </w:pPr>
      <w:r>
        <w:rPr>
          <w:sz w:val="6"/>
        </w:rPr>
      </w:r>
    </w:p>
    <w:p>
      <w:pPr/>
      <w:r>
        <w:t xml:space="preserve">Commission the following individually identified views for </w:t>
      </w:r>
      <w:r>
        <w:rPr>
          <w:b/>
        </w:rPr>
        <w:t>each</w:t>
      </w:r>
      <w:r>
        <w:t xml:space="preserve"> HUL01–06:</w:t>
      </w:r>
    </w:p>
    <w:p>
      <w:pPr>
        <w:pStyle w:val="ListBullet"/>
      </w:pPr>
      <w:r>
        <w:rPr>
          <w:b/>
        </w:rPr>
        <w:t>-EXT:</w:t>
      </w:r>
      <w:r>
        <w:t xml:space="preserve"> three-quarter exterior with player-scale reference and boarding path.</w:t>
      </w:r>
    </w:p>
    <w:p>
      <w:pPr>
        <w:pStyle w:val="ListBullet"/>
      </w:pPr>
      <w:r>
        <w:rPr>
          <w:b/>
        </w:rPr>
        <w:t>-ORT:</w:t>
      </w:r>
      <w:r>
        <w:t xml:space="preserve"> aligned front, side, and top concept views for consistent later imagery; these are design references, not engineering drawings.</w:t>
      </w:r>
    </w:p>
    <w:p>
      <w:pPr>
        <w:pStyle w:val="ListBullet"/>
      </w:pPr>
      <w:r>
        <w:rPr>
          <w:b/>
        </w:rPr>
        <w:t>-INT:</w:t>
      </w:r>
      <w:r>
        <w:t xml:space="preserve"> inhabited cutaway showing cockpit, cabin, cargo, service access, and appropriate support spaces.</w:t>
      </w:r>
    </w:p>
    <w:p>
      <w:pPr>
        <w:pStyle w:val="ListBullet"/>
      </w:pPr>
      <w:r>
        <w:rPr>
          <w:b/>
        </w:rPr>
        <w:t>-COC:</w:t>
      </w:r>
      <w:r>
        <w:t xml:space="preserve"> pilot-eye cockpit view with consistent location of essential status information.</w:t>
      </w:r>
    </w:p>
    <w:p>
      <w:pPr>
        <w:pStyle w:val="ListBullet"/>
      </w:pPr>
      <w:r>
        <w:rPr>
          <w:b/>
        </w:rPr>
        <w:t>-MOD:</w:t>
      </w:r>
      <w:r>
        <w:t xml:space="preserve"> module sheet showing applicable cockpit, cabin, cargo, life-support, workshop, and laboratory options within that hull's actual size.</w:t>
      </w:r>
    </w:p>
    <w:p>
      <w:pPr>
        <w:pStyle w:val="ListBullet"/>
      </w:pPr>
      <w:r>
        <w:rPr>
          <w:b/>
        </w:rPr>
        <w:t>-ASM:</w:t>
      </w:r>
      <w:r>
        <w:t xml:space="preserve"> seven-stage construction sheet: foundation/gantry; frame/gear; propulsion/services; habitat/cargo; shell/fittings; interior; commissioning.</w:t>
      </w:r>
    </w:p>
    <w:p>
      <w:pPr>
        <w:pStyle w:val="ListBullet"/>
      </w:pPr>
      <w:r>
        <w:rPr>
          <w:b/>
        </w:rPr>
        <w:t>-OPS:</w:t>
      </w:r>
      <w:r>
        <w:t xml:space="preserve"> characteristic operating scene: Lark surveying, Keel launching, Pilgrim landing, Peregrine unloading a rover, Hearth supporting an outer-world expedition, Far Lantern departing for Afterlight.</w:t>
      </w:r>
    </w:p>
    <w:p>
      <w:pPr/>
      <w:r>
        <w:t xml:space="preserve">Add </w:t>
      </w:r>
      <w:r>
        <w:rPr>
          <w:b/>
        </w:rPr>
        <w:t>HUL04-V1/V2</w:t>
      </w:r>
      <w:r>
        <w:t xml:space="preserve"> and </w:t>
      </w:r>
      <w:r>
        <w:rPr>
          <w:b/>
        </w:rPr>
        <w:t>HUL05-V1/V2</w:t>
      </w:r>
      <w:r>
        <w:t xml:space="preserve"> for cargo-heavy and research-heavy variants. Personal finishes, lighting, and interior choices remain visible within a consistent hull family. Life-support, protected reserves, cargo, and boarding access must remain identifiable.</w:t>
      </w:r>
    </w:p>
    <w:p>
      <w:pPr/>
      <w:r>
        <w:t xml:space="preserve">Reserve </w:t>
      </w:r>
      <w:r>
        <w:rPr>
          <w:b/>
        </w:rPr>
        <w:t>HUL02-SEP</w:t>
      </w:r>
      <w:r>
        <w:t xml:space="preserve"> for the launch/capsule/service relationship and </w:t>
      </w:r>
      <w:r>
        <w:rPr>
          <w:b/>
        </w:rPr>
        <w:t>HUL05-SEP</w:t>
      </w:r>
      <w:r>
        <w:t xml:space="preserve">, </w:t>
      </w:r>
      <w:r>
        <w:rPr>
          <w:b/>
        </w:rPr>
        <w:t>HUL06-SEP</w:t>
      </w:r>
      <w:r>
        <w:t xml:space="preserve"> for carrier-to-lander arrangements only where the confirmed configuration includes mechanical separation. Show before, detached, and docked states with matching joints. Do not imply universal boosters, detachable cabins, or arbitrary moving player-built bases through decorative seams. These conditional sheets illustrate the chosen text design; they do not introduce additional vehicle systems.</w:t>
      </w:r>
    </w:p>
    <w:p>
      <w:pPr>
        <w:pStyle w:val="Heading3"/>
      </w:pPr>
      <w:r>
        <w:t>Support vehicles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79"/>
        <w:gridCol w:w="3240"/>
        <w:gridCol w:w="5774"/>
      </w:tblGrid>
      <w:tr>
        <w:trPr>
          <w:cantSplit/>
          <w:tblHeader w:val="true"/>
        </w:trPr>
        <w:tc>
          <w:tcPr>
            <w:tcW w:type="dxa" w:w="979"/>
            <w:vAlign w:val="center"/>
            <w:tcMar>
              <w:top w:w="85" w:type="dxa"/>
              <w:bottom w:w="85" w:type="dxa"/>
              <w:left w:w="95" w:type="dxa"/>
              <w:right w:w="95" w:type="dxa"/>
            </w:tcMar>
            <w:shd w:fill="233544"/>
          </w:tcPr>
          <w:p>
            <w:pPr>
              <w:pStyle w:val="TableText"/>
              <w:keepNext w:val="0"/>
              <w:keepLines/>
              <w:jc w:val="center"/>
            </w:pPr>
            <w:r>
              <w:rPr>
                <w:b/>
                <w:color w:val="FFFFFF"/>
                <w:sz w:val="20"/>
              </w:rPr>
              <w:t>ID</w:t>
            </w:r>
          </w:p>
        </w:tc>
        <w:tc>
          <w:tcPr>
            <w:tcW w:type="dxa" w:w="3240"/>
            <w:vAlign w:val="center"/>
            <w:tcMar>
              <w:top w:w="85" w:type="dxa"/>
              <w:bottom w:w="85" w:type="dxa"/>
              <w:left w:w="95" w:type="dxa"/>
              <w:right w:w="95" w:type="dxa"/>
            </w:tcMar>
            <w:shd w:fill="233544"/>
          </w:tcPr>
          <w:p>
            <w:pPr>
              <w:pStyle w:val="TableText"/>
              <w:keepNext w:val="0"/>
              <w:keepLines/>
            </w:pPr>
            <w:r>
              <w:rPr>
                <w:b/>
                <w:color w:val="FFFFFF"/>
                <w:sz w:val="20"/>
              </w:rPr>
              <w:t>Exact family</w:t>
            </w:r>
          </w:p>
        </w:tc>
        <w:tc>
          <w:tcPr>
            <w:tcW w:type="dxa" w:w="5774"/>
            <w:vAlign w:val="center"/>
            <w:tcMar>
              <w:top w:w="85" w:type="dxa"/>
              <w:bottom w:w="85" w:type="dxa"/>
              <w:left w:w="95" w:type="dxa"/>
              <w:right w:w="95" w:type="dxa"/>
            </w:tcMar>
            <w:shd w:fill="233544"/>
          </w:tcPr>
          <w:p>
            <w:pPr>
              <w:pStyle w:val="TableText"/>
              <w:keepNext w:val="0"/>
              <w:keepLines/>
            </w:pPr>
            <w:r>
              <w:rPr>
                <w:b/>
                <w:color w:val="FFFFFF"/>
                <w:sz w:val="20"/>
              </w:rPr>
              <w:t>Required subjects</w:t>
            </w:r>
          </w:p>
        </w:tc>
      </w:tr>
      <w:tr>
        <w:trPr>
          <w:cantSplit/>
        </w:trPr>
        <w:tc>
          <w:tcPr>
            <w:tcW w:type="dxa" w:w="979"/>
            <w:vAlign w:val="center"/>
            <w:tcMar>
              <w:top w:w="85" w:type="dxa"/>
              <w:bottom w:w="85" w:type="dxa"/>
              <w:left w:w="95" w:type="dxa"/>
              <w:right w:w="95" w:type="dxa"/>
            </w:tcMar>
            <w:shd w:fill="FFFFFF"/>
          </w:tcPr>
          <w:p>
            <w:pPr>
              <w:pStyle w:val="TableText"/>
              <w:keepNext w:val="0"/>
              <w:keepLines/>
              <w:jc w:val="center"/>
            </w:pPr>
            <w:r>
              <w:rPr>
                <w:sz w:val="20"/>
              </w:rPr>
              <w:t>SUP01</w:t>
            </w:r>
          </w:p>
        </w:tc>
        <w:tc>
          <w:tcPr>
            <w:tcW w:type="dxa" w:w="3240"/>
            <w:vAlign w:val="center"/>
            <w:tcMar>
              <w:top w:w="85" w:type="dxa"/>
              <w:bottom w:w="85" w:type="dxa"/>
              <w:left w:w="95" w:type="dxa"/>
              <w:right w:w="95" w:type="dxa"/>
            </w:tcMar>
            <w:shd w:fill="FFFFFF"/>
          </w:tcPr>
          <w:p>
            <w:pPr>
              <w:pStyle w:val="TableText"/>
              <w:keepNext w:val="0"/>
              <w:keepLines/>
            </w:pPr>
            <w:r>
              <w:rPr>
                <w:sz w:val="20"/>
              </w:rPr>
              <w:t>Survey Rover</w:t>
            </w:r>
          </w:p>
        </w:tc>
        <w:tc>
          <w:tcPr>
            <w:tcW w:type="dxa" w:w="5774"/>
            <w:vAlign w:val="center"/>
            <w:tcMar>
              <w:top w:w="85" w:type="dxa"/>
              <w:bottom w:w="85" w:type="dxa"/>
              <w:left w:w="95" w:type="dxa"/>
              <w:right w:w="95" w:type="dxa"/>
            </w:tcMar>
            <w:shd w:fill="FFFFFF"/>
          </w:tcPr>
          <w:p>
            <w:pPr>
              <w:pStyle w:val="TableText"/>
              <w:keepNext w:val="0"/>
              <w:keepLines/>
            </w:pPr>
            <w:r>
              <w:rPr>
                <w:sz w:val="20"/>
              </w:rPr>
              <w:t>Exterior, cockpit, sample/tool loadout, Mars route operation</w:t>
            </w:r>
          </w:p>
        </w:tc>
      </w:tr>
      <w:tr>
        <w:trPr>
          <w:cantSplit/>
        </w:trPr>
        <w:tc>
          <w:tcPr>
            <w:tcW w:type="dxa" w:w="979"/>
            <w:vAlign w:val="center"/>
            <w:tcMar>
              <w:top w:w="85" w:type="dxa"/>
              <w:bottom w:w="85" w:type="dxa"/>
              <w:left w:w="95" w:type="dxa"/>
              <w:right w:w="95" w:type="dxa"/>
            </w:tcMar>
            <w:shd w:fill="F3F5F6"/>
          </w:tcPr>
          <w:p>
            <w:pPr>
              <w:pStyle w:val="TableText"/>
              <w:keepNext w:val="0"/>
              <w:keepLines/>
              <w:jc w:val="center"/>
            </w:pPr>
            <w:r>
              <w:rPr>
                <w:sz w:val="20"/>
              </w:rPr>
              <w:t>SUP02</w:t>
            </w:r>
          </w:p>
        </w:tc>
        <w:tc>
          <w:tcPr>
            <w:tcW w:type="dxa" w:w="3240"/>
            <w:vAlign w:val="center"/>
            <w:tcMar>
              <w:top w:w="85" w:type="dxa"/>
              <w:bottom w:w="85" w:type="dxa"/>
              <w:left w:w="95" w:type="dxa"/>
              <w:right w:w="95" w:type="dxa"/>
            </w:tcMar>
            <w:shd w:fill="F3F5F6"/>
          </w:tcPr>
          <w:p>
            <w:pPr>
              <w:pStyle w:val="TableText"/>
              <w:keepNext w:val="0"/>
              <w:keepLines/>
            </w:pPr>
            <w:r>
              <w:rPr>
                <w:sz w:val="20"/>
              </w:rPr>
              <w:t>Cargo Crawler</w:t>
            </w:r>
          </w:p>
        </w:tc>
        <w:tc>
          <w:tcPr>
            <w:tcW w:type="dxa" w:w="5774"/>
            <w:vAlign w:val="center"/>
            <w:tcMar>
              <w:top w:w="85" w:type="dxa"/>
              <w:bottom w:w="85" w:type="dxa"/>
              <w:left w:w="95" w:type="dxa"/>
              <w:right w:w="95" w:type="dxa"/>
            </w:tcMar>
            <w:shd w:fill="F3F5F6"/>
          </w:tcPr>
          <w:p>
            <w:pPr>
              <w:pStyle w:val="TableText"/>
              <w:keepNext w:val="0"/>
              <w:keepLines/>
            </w:pPr>
            <w:r>
              <w:rPr>
                <w:sz w:val="20"/>
              </w:rPr>
              <w:t>Exterior, payload interface, prepared-route traversal, parked loading</w:t>
            </w:r>
          </w:p>
        </w:tc>
      </w:tr>
      <w:tr>
        <w:trPr>
          <w:cantSplit/>
        </w:trPr>
        <w:tc>
          <w:tcPr>
            <w:tcW w:type="dxa" w:w="979"/>
            <w:vAlign w:val="center"/>
            <w:tcMar>
              <w:top w:w="85" w:type="dxa"/>
              <w:bottom w:w="85" w:type="dxa"/>
              <w:left w:w="95" w:type="dxa"/>
              <w:right w:w="95" w:type="dxa"/>
            </w:tcMar>
            <w:shd w:fill="FFFFFF"/>
          </w:tcPr>
          <w:p>
            <w:pPr>
              <w:pStyle w:val="TableText"/>
              <w:keepNext w:val="0"/>
              <w:keepLines/>
              <w:jc w:val="center"/>
            </w:pPr>
            <w:r>
              <w:rPr>
                <w:sz w:val="20"/>
              </w:rPr>
              <w:t>SUP03</w:t>
            </w:r>
          </w:p>
        </w:tc>
        <w:tc>
          <w:tcPr>
            <w:tcW w:type="dxa" w:w="3240"/>
            <w:vAlign w:val="center"/>
            <w:tcMar>
              <w:top w:w="85" w:type="dxa"/>
              <w:bottom w:w="85" w:type="dxa"/>
              <w:left w:w="95" w:type="dxa"/>
              <w:right w:w="95" w:type="dxa"/>
            </w:tcMar>
            <w:shd w:fill="FFFFFF"/>
          </w:tcPr>
          <w:p>
            <w:pPr>
              <w:pStyle w:val="TableText"/>
              <w:keepNext w:val="0"/>
              <w:keepLines/>
            </w:pPr>
            <w:r>
              <w:rPr>
                <w:sz w:val="20"/>
              </w:rPr>
              <w:t>Ice Submersible</w:t>
            </w:r>
          </w:p>
        </w:tc>
        <w:tc>
          <w:tcPr>
            <w:tcW w:type="dxa" w:w="5774"/>
            <w:vAlign w:val="center"/>
            <w:tcMar>
              <w:top w:w="85" w:type="dxa"/>
              <w:bottom w:w="85" w:type="dxa"/>
              <w:left w:w="95" w:type="dxa"/>
              <w:right w:w="95" w:type="dxa"/>
            </w:tcMar>
            <w:shd w:fill="FFFFFF"/>
          </w:tcPr>
          <w:p>
            <w:pPr>
              <w:pStyle w:val="TableText"/>
              <w:keepNext w:val="0"/>
              <w:keepLines/>
            </w:pPr>
            <w:r>
              <w:rPr>
                <w:sz w:val="20"/>
              </w:rPr>
              <w:t>Exterior, cockpit, pressure-boundary cutaway, Lantern Ocean operation</w:t>
            </w:r>
          </w:p>
        </w:tc>
      </w:tr>
      <w:tr>
        <w:trPr>
          <w:cantSplit/>
        </w:trPr>
        <w:tc>
          <w:tcPr>
            <w:tcW w:type="dxa" w:w="979"/>
            <w:vAlign w:val="center"/>
            <w:tcMar>
              <w:top w:w="85" w:type="dxa"/>
              <w:bottom w:w="85" w:type="dxa"/>
              <w:left w:w="95" w:type="dxa"/>
              <w:right w:w="95" w:type="dxa"/>
            </w:tcMar>
            <w:shd w:fill="F3F5F6"/>
          </w:tcPr>
          <w:p>
            <w:pPr>
              <w:pStyle w:val="TableText"/>
              <w:keepNext w:val="0"/>
              <w:keepLines/>
              <w:jc w:val="center"/>
            </w:pPr>
            <w:r>
              <w:rPr>
                <w:sz w:val="20"/>
              </w:rPr>
              <w:t>SUP04</w:t>
            </w:r>
          </w:p>
        </w:tc>
        <w:tc>
          <w:tcPr>
            <w:tcW w:type="dxa" w:w="3240"/>
            <w:vAlign w:val="center"/>
            <w:tcMar>
              <w:top w:w="85" w:type="dxa"/>
              <w:bottom w:w="85" w:type="dxa"/>
              <w:left w:w="95" w:type="dxa"/>
              <w:right w:w="95" w:type="dxa"/>
            </w:tcMar>
            <w:shd w:fill="F3F5F6"/>
          </w:tcPr>
          <w:p>
            <w:pPr>
              <w:pStyle w:val="TableText"/>
              <w:keepNext w:val="0"/>
              <w:keepLines/>
            </w:pPr>
            <w:r>
              <w:rPr>
                <w:sz w:val="20"/>
              </w:rPr>
              <w:t>Atmospheric Survey Skiff</w:t>
            </w:r>
          </w:p>
        </w:tc>
        <w:tc>
          <w:tcPr>
            <w:tcW w:type="dxa" w:w="5774"/>
            <w:vAlign w:val="center"/>
            <w:tcMar>
              <w:top w:w="85" w:type="dxa"/>
              <w:bottom w:w="85" w:type="dxa"/>
              <w:left w:w="95" w:type="dxa"/>
              <w:right w:w="95" w:type="dxa"/>
            </w:tcMar>
            <w:shd w:fill="F3F5F6"/>
          </w:tcPr>
          <w:p>
            <w:pPr>
              <w:pStyle w:val="TableText"/>
              <w:keepNext w:val="0"/>
              <w:keepLines/>
            </w:pPr>
            <w:r>
              <w:rPr>
                <w:sz w:val="20"/>
              </w:rPr>
              <w:t>Exterior, pilot position, flight-support structure, Hollow Weather operation</w:t>
            </w:r>
          </w:p>
        </w:tc>
      </w:tr>
    </w:tbl>
    <w:p>
      <w:pPr>
        <w:spacing w:after="0" w:before="0" w:line="60" w:lineRule="exact"/>
      </w:pPr>
      <w:r>
        <w:rPr>
          <w:sz w:val="6"/>
        </w:rPr>
      </w:r>
    </w:p>
    <w:p>
      <w:pPr/>
      <w:r>
        <w:t xml:space="preserve">Use </w:t>
      </w:r>
      <w:r>
        <w:rPr>
          <w:b/>
        </w:rPr>
        <w:t>-EXT, -INT, -LOAD, -OPS</w:t>
      </w:r>
      <w:r>
        <w:t xml:space="preserve"> for each support family; adapt -INT to an exposed pilot or service layout where there is no enclosed cabin. Vehicle images must show how occupants board, how cargo is secured, and how the craft returns to its supporting refuge.</w:t>
      </w:r>
    </w:p>
    <w:p>
      <w:pPr>
        <w:pStyle w:val="Heading3"/>
      </w:pPr>
      <w:r>
        <w:t>Fictional ecology eleven exact subjects</w:t>
      </w:r>
    </w:p>
    <w:p>
      <w:pPr/>
      <w:r>
        <w:t xml:space="preserve">Each </w:t>
      </w:r>
      <w:r>
        <w:rPr>
          <w:b/>
        </w:rPr>
        <w:t>CEC</w:t>
      </w:r>
      <w:r>
        <w:t xml:space="preserve"> subject receives </w:t>
      </w:r>
      <w:r>
        <w:rPr>
          <w:b/>
        </w:rPr>
        <w:t>-FORM</w:t>
      </w:r>
      <w:r>
        <w:t xml:space="preserve">, a clear anatomy/silhouette reference; </w:t>
      </w:r>
      <w:r>
        <w:rPr>
          <w:b/>
        </w:rPr>
        <w:t>-HAB</w:t>
      </w:r>
      <w:r>
        <w:t xml:space="preserve">, an in-habitat image; and </w:t>
      </w:r>
      <w:r>
        <w:rPr>
          <w:b/>
        </w:rPr>
        <w:t>-ACT</w:t>
      </w:r>
      <w:r>
        <w:t>, its characteristic response or interaction. These are family descriptions, not approved species names.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864"/>
        <w:gridCol w:w="1526"/>
        <w:gridCol w:w="2016"/>
        <w:gridCol w:w="5587"/>
      </w:tblGrid>
      <w:tr>
        <w:trPr>
          <w:cantSplit/>
          <w:tblHeader w:val="true"/>
        </w:trPr>
        <w:tc>
          <w:tcPr>
            <w:tcW w:type="dxa" w:w="864"/>
            <w:vAlign w:val="center"/>
            <w:tcMar>
              <w:top w:w="85" w:type="dxa"/>
              <w:bottom w:w="85" w:type="dxa"/>
              <w:left w:w="95" w:type="dxa"/>
              <w:right w:w="95" w:type="dxa"/>
            </w:tcMar>
            <w:shd w:fill="233544"/>
          </w:tcPr>
          <w:p>
            <w:pPr>
              <w:pStyle w:val="TableText"/>
              <w:keepNext w:val="0"/>
              <w:keepLines/>
              <w:jc w:val="center"/>
            </w:pPr>
            <w:r>
              <w:rPr>
                <w:b/>
                <w:color w:val="FFFFFF"/>
                <w:sz w:val="20"/>
              </w:rPr>
              <w:t>ID</w:t>
            </w:r>
          </w:p>
        </w:tc>
        <w:tc>
          <w:tcPr>
            <w:tcW w:type="dxa" w:w="1526"/>
            <w:vAlign w:val="center"/>
            <w:tcMar>
              <w:top w:w="85" w:type="dxa"/>
              <w:bottom w:w="85" w:type="dxa"/>
              <w:left w:w="95" w:type="dxa"/>
              <w:right w:w="95" w:type="dxa"/>
            </w:tcMar>
            <w:shd w:fill="233544"/>
          </w:tcPr>
          <w:p>
            <w:pPr>
              <w:pStyle w:val="TableText"/>
              <w:keepNext w:val="0"/>
              <w:keepLines/>
            </w:pPr>
            <w:r>
              <w:rPr>
                <w:b/>
                <w:color w:val="FFFFFF"/>
                <w:sz w:val="20"/>
              </w:rPr>
              <w:t>Destination</w:t>
            </w:r>
          </w:p>
        </w:tc>
        <w:tc>
          <w:tcPr>
            <w:tcW w:type="dxa" w:w="2016"/>
            <w:vAlign w:val="center"/>
            <w:tcMar>
              <w:top w:w="85" w:type="dxa"/>
              <w:bottom w:w="85" w:type="dxa"/>
              <w:left w:w="95" w:type="dxa"/>
              <w:right w:w="95" w:type="dxa"/>
            </w:tcMar>
            <w:shd w:fill="233544"/>
          </w:tcPr>
          <w:p>
            <w:pPr>
              <w:pStyle w:val="TableText"/>
              <w:keepNext w:val="0"/>
              <w:keepLines/>
            </w:pPr>
            <w:r>
              <w:rPr>
                <w:b/>
                <w:color w:val="FFFFFF"/>
                <w:sz w:val="20"/>
              </w:rPr>
              <w:t>Exact proposed family</w:t>
            </w:r>
          </w:p>
        </w:tc>
        <w:tc>
          <w:tcPr>
            <w:tcW w:type="dxa" w:w="5587"/>
            <w:vAlign w:val="center"/>
            <w:tcMar>
              <w:top w:w="85" w:type="dxa"/>
              <w:bottom w:w="85" w:type="dxa"/>
              <w:left w:w="95" w:type="dxa"/>
              <w:right w:w="95" w:type="dxa"/>
            </w:tcMar>
            <w:shd w:fill="233544"/>
          </w:tcPr>
          <w:p>
            <w:pPr>
              <w:pStyle w:val="TableText"/>
              <w:keepNext w:val="0"/>
              <w:keepLines/>
            </w:pPr>
            <w:r>
              <w:rPr>
                <w:b/>
                <w:color w:val="FFFFFF"/>
                <w:sz w:val="20"/>
              </w:rPr>
              <w:t>Characteristic activity</w:t>
            </w:r>
          </w:p>
        </w:tc>
      </w:tr>
      <w:tr>
        <w:trPr>
          <w:cantSplit/>
        </w:trPr>
        <w:tc>
          <w:tcPr>
            <w:tcW w:type="dxa" w:w="864"/>
            <w:vAlign w:val="center"/>
            <w:tcMar>
              <w:top w:w="85" w:type="dxa"/>
              <w:bottom w:w="85" w:type="dxa"/>
              <w:left w:w="95" w:type="dxa"/>
              <w:right w:w="95" w:type="dxa"/>
            </w:tcMar>
            <w:shd w:fill="FFFFFF"/>
          </w:tcPr>
          <w:p>
            <w:pPr>
              <w:pStyle w:val="TableText"/>
              <w:keepNext w:val="0"/>
              <w:keepLines/>
              <w:jc w:val="center"/>
            </w:pPr>
            <w:r>
              <w:rPr>
                <w:sz w:val="20"/>
              </w:rPr>
              <w:t>CEC01</w:t>
            </w:r>
          </w:p>
        </w:tc>
        <w:tc>
          <w:tcPr>
            <w:tcW w:type="dxa" w:w="1526"/>
            <w:vAlign w:val="center"/>
            <w:tcMar>
              <w:top w:w="85" w:type="dxa"/>
              <w:bottom w:w="85" w:type="dxa"/>
              <w:left w:w="95" w:type="dxa"/>
              <w:right w:w="95" w:type="dxa"/>
            </w:tcMar>
            <w:shd w:fill="FFFFFF"/>
          </w:tcPr>
          <w:p>
            <w:pPr>
              <w:pStyle w:val="TableText"/>
              <w:keepNext w:val="0"/>
              <w:keepLines/>
            </w:pPr>
            <w:r>
              <w:rPr>
                <w:sz w:val="20"/>
              </w:rPr>
              <w:t>Mars</w:t>
            </w:r>
          </w:p>
        </w:tc>
        <w:tc>
          <w:tcPr>
            <w:tcW w:type="dxa" w:w="2016"/>
            <w:vAlign w:val="center"/>
            <w:tcMar>
              <w:top w:w="85" w:type="dxa"/>
              <w:bottom w:w="85" w:type="dxa"/>
              <w:left w:w="95" w:type="dxa"/>
              <w:right w:w="95" w:type="dxa"/>
            </w:tcMar>
            <w:shd w:fill="FFFFFF"/>
          </w:tcPr>
          <w:p>
            <w:pPr>
              <w:pStyle w:val="TableText"/>
              <w:keepNext w:val="0"/>
              <w:keepLines/>
            </w:pPr>
            <w:r>
              <w:rPr>
                <w:sz w:val="20"/>
              </w:rPr>
              <w:t>Optional brine mat</w:t>
            </w:r>
          </w:p>
        </w:tc>
        <w:tc>
          <w:tcPr>
            <w:tcW w:type="dxa" w:w="5587"/>
            <w:vAlign w:val="center"/>
            <w:tcMar>
              <w:top w:w="85" w:type="dxa"/>
              <w:bottom w:w="85" w:type="dxa"/>
              <w:left w:w="95" w:type="dxa"/>
              <w:right w:w="95" w:type="dxa"/>
            </w:tcMar>
            <w:shd w:fill="FFFFFF"/>
          </w:tcPr>
          <w:p>
            <w:pPr>
              <w:pStyle w:val="TableText"/>
              <w:keepNext w:val="0"/>
              <w:keepLines/>
            </w:pPr>
            <w:r>
              <w:rPr>
                <w:sz w:val="20"/>
              </w:rPr>
              <w:t>Localized light or vibration response</w:t>
            </w:r>
          </w:p>
        </w:tc>
      </w:tr>
      <w:tr>
        <w:trPr>
          <w:cantSplit/>
        </w:trPr>
        <w:tc>
          <w:tcPr>
            <w:tcW w:type="dxa" w:w="864"/>
            <w:vAlign w:val="center"/>
            <w:tcMar>
              <w:top w:w="85" w:type="dxa"/>
              <w:bottom w:w="85" w:type="dxa"/>
              <w:left w:w="95" w:type="dxa"/>
              <w:right w:w="95" w:type="dxa"/>
            </w:tcMar>
            <w:shd w:fill="F3F5F6"/>
          </w:tcPr>
          <w:p>
            <w:pPr>
              <w:pStyle w:val="TableText"/>
              <w:keepNext w:val="0"/>
              <w:keepLines/>
              <w:jc w:val="center"/>
            </w:pPr>
            <w:r>
              <w:rPr>
                <w:sz w:val="20"/>
              </w:rPr>
              <w:t>CEC02</w:t>
            </w:r>
          </w:p>
        </w:tc>
        <w:tc>
          <w:tcPr>
            <w:tcW w:type="dxa" w:w="1526"/>
            <w:vAlign w:val="center"/>
            <w:tcMar>
              <w:top w:w="85" w:type="dxa"/>
              <w:bottom w:w="85" w:type="dxa"/>
              <w:left w:w="95" w:type="dxa"/>
              <w:right w:w="95" w:type="dxa"/>
            </w:tcMar>
            <w:shd w:fill="F3F5F6"/>
          </w:tcPr>
          <w:p>
            <w:pPr>
              <w:pStyle w:val="TableText"/>
              <w:keepNext w:val="0"/>
              <w:keepLines/>
            </w:pPr>
            <w:r>
              <w:rPr>
                <w:sz w:val="20"/>
              </w:rPr>
              <w:t>Europa</w:t>
            </w:r>
          </w:p>
        </w:tc>
        <w:tc>
          <w:tcPr>
            <w:tcW w:type="dxa" w:w="2016"/>
            <w:vAlign w:val="center"/>
            <w:tcMar>
              <w:top w:w="85" w:type="dxa"/>
              <w:bottom w:w="85" w:type="dxa"/>
              <w:left w:w="95" w:type="dxa"/>
              <w:right w:w="95" w:type="dxa"/>
            </w:tcMar>
            <w:shd w:fill="F3F5F6"/>
          </w:tcPr>
          <w:p>
            <w:pPr>
              <w:pStyle w:val="TableText"/>
              <w:keepNext w:val="0"/>
              <w:keepLines/>
            </w:pPr>
            <w:r>
              <w:rPr>
                <w:sz w:val="20"/>
              </w:rPr>
              <w:t>Luminous drifter</w:t>
            </w:r>
          </w:p>
        </w:tc>
        <w:tc>
          <w:tcPr>
            <w:tcW w:type="dxa" w:w="5587"/>
            <w:vAlign w:val="center"/>
            <w:tcMar>
              <w:top w:w="85" w:type="dxa"/>
              <w:bottom w:w="85" w:type="dxa"/>
              <w:left w:w="95" w:type="dxa"/>
              <w:right w:w="95" w:type="dxa"/>
            </w:tcMar>
            <w:shd w:fill="F3F5F6"/>
          </w:tcPr>
          <w:p>
            <w:pPr>
              <w:pStyle w:val="TableText"/>
              <w:keepNext w:val="0"/>
              <w:keepLines/>
            </w:pPr>
            <w:r>
              <w:rPr>
                <w:sz w:val="20"/>
              </w:rPr>
              <w:t>Suspended movement and light communication cues</w:t>
            </w:r>
          </w:p>
        </w:tc>
      </w:tr>
      <w:tr>
        <w:trPr>
          <w:cantSplit/>
        </w:trPr>
        <w:tc>
          <w:tcPr>
            <w:tcW w:type="dxa" w:w="864"/>
            <w:vAlign w:val="center"/>
            <w:tcMar>
              <w:top w:w="85" w:type="dxa"/>
              <w:bottom w:w="85" w:type="dxa"/>
              <w:left w:w="95" w:type="dxa"/>
              <w:right w:w="95" w:type="dxa"/>
            </w:tcMar>
            <w:shd w:fill="FFFFFF"/>
          </w:tcPr>
          <w:p>
            <w:pPr>
              <w:pStyle w:val="TableText"/>
              <w:keepNext w:val="0"/>
              <w:keepLines/>
              <w:jc w:val="center"/>
            </w:pPr>
            <w:r>
              <w:rPr>
                <w:sz w:val="20"/>
              </w:rPr>
              <w:t>CEC03</w:t>
            </w:r>
          </w:p>
        </w:tc>
        <w:tc>
          <w:tcPr>
            <w:tcW w:type="dxa" w:w="1526"/>
            <w:vAlign w:val="center"/>
            <w:tcMar>
              <w:top w:w="85" w:type="dxa"/>
              <w:bottom w:w="85" w:type="dxa"/>
              <w:left w:w="95" w:type="dxa"/>
              <w:right w:w="95" w:type="dxa"/>
            </w:tcMar>
            <w:shd w:fill="FFFFFF"/>
          </w:tcPr>
          <w:p>
            <w:pPr>
              <w:pStyle w:val="TableText"/>
              <w:keepNext w:val="0"/>
              <w:keepLines/>
            </w:pPr>
            <w:r>
              <w:rPr>
                <w:sz w:val="20"/>
              </w:rPr>
              <w:t>Europa</w:t>
            </w:r>
          </w:p>
        </w:tc>
        <w:tc>
          <w:tcPr>
            <w:tcW w:type="dxa" w:w="2016"/>
            <w:vAlign w:val="center"/>
            <w:tcMar>
              <w:top w:w="85" w:type="dxa"/>
              <w:bottom w:w="85" w:type="dxa"/>
              <w:left w:w="95" w:type="dxa"/>
              <w:right w:w="95" w:type="dxa"/>
            </w:tcMar>
            <w:shd w:fill="FFFFFF"/>
          </w:tcPr>
          <w:p>
            <w:pPr>
              <w:pStyle w:val="TableText"/>
              <w:keepNext w:val="0"/>
              <w:keepLines/>
            </w:pPr>
            <w:r>
              <w:rPr>
                <w:sz w:val="20"/>
              </w:rPr>
              <w:t>Ribbon grazer</w:t>
            </w:r>
          </w:p>
        </w:tc>
        <w:tc>
          <w:tcPr>
            <w:tcW w:type="dxa" w:w="5587"/>
            <w:vAlign w:val="center"/>
            <w:tcMar>
              <w:top w:w="85" w:type="dxa"/>
              <w:bottom w:w="85" w:type="dxa"/>
              <w:left w:w="95" w:type="dxa"/>
              <w:right w:w="95" w:type="dxa"/>
            </w:tcMar>
            <w:shd w:fill="FFFFFF"/>
          </w:tcPr>
          <w:p>
            <w:pPr>
              <w:pStyle w:val="TableText"/>
              <w:keepNext w:val="0"/>
              <w:keepLines/>
            </w:pPr>
            <w:r>
              <w:rPr>
                <w:sz w:val="20"/>
              </w:rPr>
              <w:t>Feeding movement across sheltered terrain</w:t>
            </w:r>
          </w:p>
        </w:tc>
      </w:tr>
      <w:tr>
        <w:trPr>
          <w:cantSplit/>
        </w:trPr>
        <w:tc>
          <w:tcPr>
            <w:tcW w:type="dxa" w:w="864"/>
            <w:vAlign w:val="center"/>
            <w:tcMar>
              <w:top w:w="85" w:type="dxa"/>
              <w:bottom w:w="85" w:type="dxa"/>
              <w:left w:w="95" w:type="dxa"/>
              <w:right w:w="95" w:type="dxa"/>
            </w:tcMar>
            <w:shd w:fill="F3F5F6"/>
          </w:tcPr>
          <w:p>
            <w:pPr>
              <w:pStyle w:val="TableText"/>
              <w:keepNext w:val="0"/>
              <w:keepLines/>
              <w:jc w:val="center"/>
            </w:pPr>
            <w:r>
              <w:rPr>
                <w:sz w:val="20"/>
              </w:rPr>
              <w:t>CEC04</w:t>
            </w:r>
          </w:p>
        </w:tc>
        <w:tc>
          <w:tcPr>
            <w:tcW w:type="dxa" w:w="1526"/>
            <w:vAlign w:val="center"/>
            <w:tcMar>
              <w:top w:w="85" w:type="dxa"/>
              <w:bottom w:w="85" w:type="dxa"/>
              <w:left w:w="95" w:type="dxa"/>
              <w:right w:w="95" w:type="dxa"/>
            </w:tcMar>
            <w:shd w:fill="F3F5F6"/>
          </w:tcPr>
          <w:p>
            <w:pPr>
              <w:pStyle w:val="TableText"/>
              <w:keepNext w:val="0"/>
              <w:keepLines/>
            </w:pPr>
            <w:r>
              <w:rPr>
                <w:sz w:val="20"/>
              </w:rPr>
              <w:t>Europa</w:t>
            </w:r>
          </w:p>
        </w:tc>
        <w:tc>
          <w:tcPr>
            <w:tcW w:type="dxa" w:w="2016"/>
            <w:vAlign w:val="center"/>
            <w:tcMar>
              <w:top w:w="85" w:type="dxa"/>
              <w:bottom w:w="85" w:type="dxa"/>
              <w:left w:w="95" w:type="dxa"/>
              <w:right w:w="95" w:type="dxa"/>
            </w:tcMar>
            <w:shd w:fill="F3F5F6"/>
          </w:tcPr>
          <w:p>
            <w:pPr>
              <w:pStyle w:val="TableText"/>
              <w:keepNext w:val="0"/>
              <w:keepLines/>
            </w:pPr>
            <w:r>
              <w:rPr>
                <w:sz w:val="20"/>
              </w:rPr>
              <w:t>Filter colony</w:t>
            </w:r>
          </w:p>
        </w:tc>
        <w:tc>
          <w:tcPr>
            <w:tcW w:type="dxa" w:w="5587"/>
            <w:vAlign w:val="center"/>
            <w:tcMar>
              <w:top w:w="85" w:type="dxa"/>
              <w:bottom w:w="85" w:type="dxa"/>
              <w:left w:w="95" w:type="dxa"/>
              <w:right w:w="95" w:type="dxa"/>
            </w:tcMar>
            <w:shd w:fill="F3F5F6"/>
          </w:tcPr>
          <w:p>
            <w:pPr>
              <w:pStyle w:val="TableText"/>
              <w:keepNext w:val="0"/>
              <w:keepLines/>
            </w:pPr>
            <w:r>
              <w:rPr>
                <w:sz w:val="20"/>
              </w:rPr>
              <w:t>Flow-linked opening and filtering</w:t>
            </w:r>
          </w:p>
        </w:tc>
      </w:tr>
      <w:tr>
        <w:trPr>
          <w:cantSplit/>
        </w:trPr>
        <w:tc>
          <w:tcPr>
            <w:tcW w:type="dxa" w:w="864"/>
            <w:vAlign w:val="center"/>
            <w:tcMar>
              <w:top w:w="85" w:type="dxa"/>
              <w:bottom w:w="85" w:type="dxa"/>
              <w:left w:w="95" w:type="dxa"/>
              <w:right w:w="95" w:type="dxa"/>
            </w:tcMar>
            <w:shd w:fill="FFFFFF"/>
          </w:tcPr>
          <w:p>
            <w:pPr>
              <w:pStyle w:val="TableText"/>
              <w:keepNext w:val="0"/>
              <w:keepLines/>
              <w:jc w:val="center"/>
            </w:pPr>
            <w:r>
              <w:rPr>
                <w:sz w:val="20"/>
              </w:rPr>
              <w:t>CEC05</w:t>
            </w:r>
          </w:p>
        </w:tc>
        <w:tc>
          <w:tcPr>
            <w:tcW w:type="dxa" w:w="1526"/>
            <w:vAlign w:val="center"/>
            <w:tcMar>
              <w:top w:w="85" w:type="dxa"/>
              <w:bottom w:w="85" w:type="dxa"/>
              <w:left w:w="95" w:type="dxa"/>
              <w:right w:w="95" w:type="dxa"/>
            </w:tcMar>
            <w:shd w:fill="FFFFFF"/>
          </w:tcPr>
          <w:p>
            <w:pPr>
              <w:pStyle w:val="TableText"/>
              <w:keepNext w:val="0"/>
              <w:keepLines/>
            </w:pPr>
            <w:r>
              <w:rPr>
                <w:sz w:val="20"/>
              </w:rPr>
              <w:t>Titan</w:t>
            </w:r>
          </w:p>
        </w:tc>
        <w:tc>
          <w:tcPr>
            <w:tcW w:type="dxa" w:w="2016"/>
            <w:vAlign w:val="center"/>
            <w:tcMar>
              <w:top w:w="85" w:type="dxa"/>
              <w:bottom w:w="85" w:type="dxa"/>
              <w:left w:w="95" w:type="dxa"/>
              <w:right w:w="95" w:type="dxa"/>
            </w:tcMar>
            <w:shd w:fill="FFFFFF"/>
          </w:tcPr>
          <w:p>
            <w:pPr>
              <w:pStyle w:val="TableText"/>
              <w:keepNext w:val="0"/>
              <w:keepLines/>
            </w:pPr>
            <w:r>
              <w:rPr>
                <w:sz w:val="20"/>
              </w:rPr>
              <w:t>Mat colony</w:t>
            </w:r>
          </w:p>
        </w:tc>
        <w:tc>
          <w:tcPr>
            <w:tcW w:type="dxa" w:w="5587"/>
            <w:vAlign w:val="center"/>
            <w:tcMar>
              <w:top w:w="85" w:type="dxa"/>
              <w:bottom w:w="85" w:type="dxa"/>
              <w:left w:w="95" w:type="dxa"/>
              <w:right w:w="95" w:type="dxa"/>
            </w:tcMar>
            <w:shd w:fill="FFFFFF"/>
          </w:tcPr>
          <w:p>
            <w:pPr>
              <w:pStyle w:val="TableText"/>
              <w:keepNext w:val="0"/>
              <w:keepLines/>
            </w:pPr>
            <w:r>
              <w:rPr>
                <w:sz w:val="20"/>
              </w:rPr>
              <w:t>Slow folding or surface response</w:t>
            </w:r>
          </w:p>
        </w:tc>
      </w:tr>
      <w:tr>
        <w:trPr>
          <w:cantSplit/>
        </w:trPr>
        <w:tc>
          <w:tcPr>
            <w:tcW w:type="dxa" w:w="864"/>
            <w:vAlign w:val="center"/>
            <w:tcMar>
              <w:top w:w="85" w:type="dxa"/>
              <w:bottom w:w="85" w:type="dxa"/>
              <w:left w:w="95" w:type="dxa"/>
              <w:right w:w="95" w:type="dxa"/>
            </w:tcMar>
            <w:shd w:fill="F3F5F6"/>
          </w:tcPr>
          <w:p>
            <w:pPr>
              <w:pStyle w:val="TableText"/>
              <w:keepNext w:val="0"/>
              <w:keepLines/>
              <w:jc w:val="center"/>
            </w:pPr>
            <w:r>
              <w:rPr>
                <w:sz w:val="20"/>
              </w:rPr>
              <w:t>CEC06</w:t>
            </w:r>
          </w:p>
        </w:tc>
        <w:tc>
          <w:tcPr>
            <w:tcW w:type="dxa" w:w="1526"/>
            <w:vAlign w:val="center"/>
            <w:tcMar>
              <w:top w:w="85" w:type="dxa"/>
              <w:bottom w:w="85" w:type="dxa"/>
              <w:left w:w="95" w:type="dxa"/>
              <w:right w:w="95" w:type="dxa"/>
            </w:tcMar>
            <w:shd w:fill="F3F5F6"/>
          </w:tcPr>
          <w:p>
            <w:pPr>
              <w:pStyle w:val="TableText"/>
              <w:keepNext w:val="0"/>
              <w:keepLines/>
            </w:pPr>
            <w:r>
              <w:rPr>
                <w:sz w:val="20"/>
              </w:rPr>
              <w:t>Titan</w:t>
            </w:r>
          </w:p>
        </w:tc>
        <w:tc>
          <w:tcPr>
            <w:tcW w:type="dxa" w:w="2016"/>
            <w:vAlign w:val="center"/>
            <w:tcMar>
              <w:top w:w="85" w:type="dxa"/>
              <w:bottom w:w="85" w:type="dxa"/>
              <w:left w:w="95" w:type="dxa"/>
              <w:right w:w="95" w:type="dxa"/>
            </w:tcMar>
            <w:shd w:fill="F3F5F6"/>
          </w:tcPr>
          <w:p>
            <w:pPr>
              <w:pStyle w:val="TableText"/>
              <w:keepNext w:val="0"/>
              <w:keepLines/>
            </w:pPr>
            <w:r>
              <w:rPr>
                <w:sz w:val="20"/>
              </w:rPr>
              <w:t>Membrane fan</w:t>
            </w:r>
          </w:p>
        </w:tc>
        <w:tc>
          <w:tcPr>
            <w:tcW w:type="dxa" w:w="5587"/>
            <w:vAlign w:val="center"/>
            <w:tcMar>
              <w:top w:w="85" w:type="dxa"/>
              <w:bottom w:w="85" w:type="dxa"/>
              <w:left w:w="95" w:type="dxa"/>
              <w:right w:w="95" w:type="dxa"/>
            </w:tcMar>
            <w:shd w:fill="F3F5F6"/>
          </w:tcPr>
          <w:p>
            <w:pPr>
              <w:pStyle w:val="TableText"/>
              <w:keepNext w:val="0"/>
              <w:keepLines/>
            </w:pPr>
            <w:r>
              <w:rPr>
                <w:sz w:val="20"/>
              </w:rPr>
              <w:t>Folding and controlled vapor release</w:t>
            </w:r>
          </w:p>
        </w:tc>
      </w:tr>
      <w:tr>
        <w:trPr>
          <w:cantSplit/>
        </w:trPr>
        <w:tc>
          <w:tcPr>
            <w:tcW w:type="dxa" w:w="864"/>
            <w:vAlign w:val="center"/>
            <w:tcMar>
              <w:top w:w="85" w:type="dxa"/>
              <w:bottom w:w="85" w:type="dxa"/>
              <w:left w:w="95" w:type="dxa"/>
              <w:right w:w="95" w:type="dxa"/>
            </w:tcMar>
            <w:shd w:fill="FFFFFF"/>
          </w:tcPr>
          <w:p>
            <w:pPr>
              <w:pStyle w:val="TableText"/>
              <w:keepNext w:val="0"/>
              <w:keepLines/>
              <w:jc w:val="center"/>
            </w:pPr>
            <w:r>
              <w:rPr>
                <w:sz w:val="20"/>
              </w:rPr>
              <w:t>CEC07</w:t>
            </w:r>
          </w:p>
        </w:tc>
        <w:tc>
          <w:tcPr>
            <w:tcW w:type="dxa" w:w="1526"/>
            <w:vAlign w:val="center"/>
            <w:tcMar>
              <w:top w:w="85" w:type="dxa"/>
              <w:bottom w:w="85" w:type="dxa"/>
              <w:left w:w="95" w:type="dxa"/>
              <w:right w:w="95" w:type="dxa"/>
            </w:tcMar>
            <w:shd w:fill="FFFFFF"/>
          </w:tcPr>
          <w:p>
            <w:pPr>
              <w:pStyle w:val="TableText"/>
              <w:keepNext w:val="0"/>
              <w:keepLines/>
            </w:pPr>
            <w:r>
              <w:rPr>
                <w:sz w:val="20"/>
              </w:rPr>
              <w:t>Titan</w:t>
            </w:r>
          </w:p>
        </w:tc>
        <w:tc>
          <w:tcPr>
            <w:tcW w:type="dxa" w:w="2016"/>
            <w:vAlign w:val="center"/>
            <w:tcMar>
              <w:top w:w="85" w:type="dxa"/>
              <w:bottom w:w="85" w:type="dxa"/>
              <w:left w:w="95" w:type="dxa"/>
              <w:right w:w="95" w:type="dxa"/>
            </w:tcMar>
            <w:shd w:fill="FFFFFF"/>
          </w:tcPr>
          <w:p>
            <w:pPr>
              <w:pStyle w:val="TableText"/>
              <w:keepNext w:val="0"/>
              <w:keepLines/>
            </w:pPr>
            <w:r>
              <w:rPr>
                <w:sz w:val="20"/>
              </w:rPr>
              <w:t>Drifting seed form</w:t>
            </w:r>
          </w:p>
        </w:tc>
        <w:tc>
          <w:tcPr>
            <w:tcW w:type="dxa" w:w="5587"/>
            <w:vAlign w:val="center"/>
            <w:tcMar>
              <w:top w:w="85" w:type="dxa"/>
              <w:bottom w:w="85" w:type="dxa"/>
              <w:left w:w="95" w:type="dxa"/>
              <w:right w:w="95" w:type="dxa"/>
            </w:tcMar>
            <w:shd w:fill="FFFFFF"/>
          </w:tcPr>
          <w:p>
            <w:pPr>
              <w:pStyle w:val="TableText"/>
              <w:keepNext w:val="0"/>
              <w:keepLines/>
            </w:pPr>
            <w:r>
              <w:rPr>
                <w:sz w:val="20"/>
              </w:rPr>
              <w:t>Slow transport through sheltered air</w:t>
            </w:r>
          </w:p>
        </w:tc>
      </w:tr>
      <w:tr>
        <w:trPr>
          <w:cantSplit/>
        </w:trPr>
        <w:tc>
          <w:tcPr>
            <w:tcW w:type="dxa" w:w="864"/>
            <w:vAlign w:val="center"/>
            <w:tcMar>
              <w:top w:w="85" w:type="dxa"/>
              <w:bottom w:w="85" w:type="dxa"/>
              <w:left w:w="95" w:type="dxa"/>
              <w:right w:w="95" w:type="dxa"/>
            </w:tcMar>
            <w:shd w:fill="F3F5F6"/>
          </w:tcPr>
          <w:p>
            <w:pPr>
              <w:pStyle w:val="TableText"/>
              <w:keepNext w:val="0"/>
              <w:keepLines/>
              <w:jc w:val="center"/>
            </w:pPr>
            <w:r>
              <w:rPr>
                <w:sz w:val="20"/>
              </w:rPr>
              <w:t>CEC08</w:t>
            </w:r>
          </w:p>
        </w:tc>
        <w:tc>
          <w:tcPr>
            <w:tcW w:type="dxa" w:w="1526"/>
            <w:vAlign w:val="center"/>
            <w:tcMar>
              <w:top w:w="85" w:type="dxa"/>
              <w:bottom w:w="85" w:type="dxa"/>
              <w:left w:w="95" w:type="dxa"/>
              <w:right w:w="95" w:type="dxa"/>
            </w:tcMar>
            <w:shd w:fill="F3F5F6"/>
          </w:tcPr>
          <w:p>
            <w:pPr>
              <w:pStyle w:val="TableText"/>
              <w:keepNext w:val="0"/>
              <w:keepLines/>
            </w:pPr>
            <w:r>
              <w:rPr>
                <w:sz w:val="20"/>
              </w:rPr>
              <w:t>Morrow</w:t>
            </w:r>
          </w:p>
        </w:tc>
        <w:tc>
          <w:tcPr>
            <w:tcW w:type="dxa" w:w="2016"/>
            <w:vAlign w:val="center"/>
            <w:tcMar>
              <w:top w:w="85" w:type="dxa"/>
              <w:bottom w:w="85" w:type="dxa"/>
              <w:left w:w="95" w:type="dxa"/>
              <w:right w:w="95" w:type="dxa"/>
            </w:tcMar>
            <w:shd w:fill="F3F5F6"/>
          </w:tcPr>
          <w:p>
            <w:pPr>
              <w:pStyle w:val="TableText"/>
              <w:keepNext w:val="0"/>
              <w:keepLines/>
            </w:pPr>
            <w:r>
              <w:rPr>
                <w:sz w:val="20"/>
              </w:rPr>
              <w:t>Fan growth</w:t>
            </w:r>
          </w:p>
        </w:tc>
        <w:tc>
          <w:tcPr>
            <w:tcW w:type="dxa" w:w="5587"/>
            <w:vAlign w:val="center"/>
            <w:tcMar>
              <w:top w:w="85" w:type="dxa"/>
              <w:bottom w:w="85" w:type="dxa"/>
              <w:left w:w="95" w:type="dxa"/>
              <w:right w:w="95" w:type="dxa"/>
            </w:tcMar>
            <w:shd w:fill="F3F5F6"/>
          </w:tcPr>
          <w:p>
            <w:pPr>
              <w:pStyle w:val="TableText"/>
              <w:keepNext w:val="0"/>
              <w:keepLines/>
            </w:pPr>
            <w:r>
              <w:rPr>
                <w:sz w:val="20"/>
              </w:rPr>
              <w:t>Shelter and light-responsive posture</w:t>
            </w:r>
          </w:p>
        </w:tc>
      </w:tr>
      <w:tr>
        <w:trPr>
          <w:cantSplit/>
        </w:trPr>
        <w:tc>
          <w:tcPr>
            <w:tcW w:type="dxa" w:w="864"/>
            <w:vAlign w:val="center"/>
            <w:tcMar>
              <w:top w:w="85" w:type="dxa"/>
              <w:bottom w:w="85" w:type="dxa"/>
              <w:left w:w="95" w:type="dxa"/>
              <w:right w:w="95" w:type="dxa"/>
            </w:tcMar>
            <w:shd w:fill="FFFFFF"/>
          </w:tcPr>
          <w:p>
            <w:pPr>
              <w:pStyle w:val="TableText"/>
              <w:keepNext w:val="0"/>
              <w:keepLines/>
              <w:jc w:val="center"/>
            </w:pPr>
            <w:r>
              <w:rPr>
                <w:sz w:val="20"/>
              </w:rPr>
              <w:t>CEC09</w:t>
            </w:r>
          </w:p>
        </w:tc>
        <w:tc>
          <w:tcPr>
            <w:tcW w:type="dxa" w:w="1526"/>
            <w:vAlign w:val="center"/>
            <w:tcMar>
              <w:top w:w="85" w:type="dxa"/>
              <w:bottom w:w="85" w:type="dxa"/>
              <w:left w:w="95" w:type="dxa"/>
              <w:right w:w="95" w:type="dxa"/>
            </w:tcMar>
            <w:shd w:fill="FFFFFF"/>
          </w:tcPr>
          <w:p>
            <w:pPr>
              <w:pStyle w:val="TableText"/>
              <w:keepNext w:val="0"/>
              <w:keepLines/>
            </w:pPr>
            <w:r>
              <w:rPr>
                <w:sz w:val="20"/>
              </w:rPr>
              <w:t>Morrow</w:t>
            </w:r>
          </w:p>
        </w:tc>
        <w:tc>
          <w:tcPr>
            <w:tcW w:type="dxa" w:w="2016"/>
            <w:vAlign w:val="center"/>
            <w:tcMar>
              <w:top w:w="85" w:type="dxa"/>
              <w:bottom w:w="85" w:type="dxa"/>
              <w:left w:w="95" w:type="dxa"/>
              <w:right w:w="95" w:type="dxa"/>
            </w:tcMar>
            <w:shd w:fill="FFFFFF"/>
          </w:tcPr>
          <w:p>
            <w:pPr>
              <w:pStyle w:val="TableText"/>
              <w:keepNext w:val="0"/>
              <w:keepLines/>
            </w:pPr>
            <w:r>
              <w:rPr>
                <w:sz w:val="20"/>
              </w:rPr>
              <w:t>Hanging membrane growth</w:t>
            </w:r>
          </w:p>
        </w:tc>
        <w:tc>
          <w:tcPr>
            <w:tcW w:type="dxa" w:w="5587"/>
            <w:vAlign w:val="center"/>
            <w:tcMar>
              <w:top w:w="85" w:type="dxa"/>
              <w:bottom w:w="85" w:type="dxa"/>
              <w:left w:w="95" w:type="dxa"/>
              <w:right w:w="95" w:type="dxa"/>
            </w:tcMar>
            <w:shd w:fill="FFFFFF"/>
          </w:tcPr>
          <w:p>
            <w:pPr>
              <w:pStyle w:val="TableText"/>
              <w:keepNext w:val="0"/>
              <w:keepLines/>
            </w:pPr>
            <w:r>
              <w:rPr>
                <w:sz w:val="20"/>
              </w:rPr>
              <w:t>Suspended surfaces and disturbance response</w:t>
            </w:r>
          </w:p>
        </w:tc>
      </w:tr>
      <w:tr>
        <w:trPr>
          <w:cantSplit/>
        </w:trPr>
        <w:tc>
          <w:tcPr>
            <w:tcW w:type="dxa" w:w="864"/>
            <w:vAlign w:val="center"/>
            <w:tcMar>
              <w:top w:w="85" w:type="dxa"/>
              <w:bottom w:w="85" w:type="dxa"/>
              <w:left w:w="95" w:type="dxa"/>
              <w:right w:w="95" w:type="dxa"/>
            </w:tcMar>
            <w:shd w:fill="F3F5F6"/>
          </w:tcPr>
          <w:p>
            <w:pPr>
              <w:pStyle w:val="TableText"/>
              <w:keepNext w:val="0"/>
              <w:keepLines/>
              <w:jc w:val="center"/>
            </w:pPr>
            <w:r>
              <w:rPr>
                <w:sz w:val="20"/>
              </w:rPr>
              <w:t>CEC10</w:t>
            </w:r>
          </w:p>
        </w:tc>
        <w:tc>
          <w:tcPr>
            <w:tcW w:type="dxa" w:w="1526"/>
            <w:vAlign w:val="center"/>
            <w:tcMar>
              <w:top w:w="85" w:type="dxa"/>
              <w:bottom w:w="85" w:type="dxa"/>
              <w:left w:w="95" w:type="dxa"/>
              <w:right w:w="95" w:type="dxa"/>
            </w:tcMar>
            <w:shd w:fill="F3F5F6"/>
          </w:tcPr>
          <w:p>
            <w:pPr>
              <w:pStyle w:val="TableText"/>
              <w:keepNext w:val="0"/>
              <w:keepLines/>
            </w:pPr>
            <w:r>
              <w:rPr>
                <w:sz w:val="20"/>
              </w:rPr>
              <w:t>Morrow</w:t>
            </w:r>
          </w:p>
        </w:tc>
        <w:tc>
          <w:tcPr>
            <w:tcW w:type="dxa" w:w="2016"/>
            <w:vAlign w:val="center"/>
            <w:tcMar>
              <w:top w:w="85" w:type="dxa"/>
              <w:bottom w:w="85" w:type="dxa"/>
              <w:left w:w="95" w:type="dxa"/>
              <w:right w:w="95" w:type="dxa"/>
            </w:tcMar>
            <w:shd w:fill="F3F5F6"/>
          </w:tcPr>
          <w:p>
            <w:pPr>
              <w:pStyle w:val="TableText"/>
              <w:keepNext w:val="0"/>
              <w:keepLines/>
            </w:pPr>
            <w:r>
              <w:rPr>
                <w:sz w:val="20"/>
              </w:rPr>
              <w:t>Bundled pillar growth</w:t>
            </w:r>
          </w:p>
        </w:tc>
        <w:tc>
          <w:tcPr>
            <w:tcW w:type="dxa" w:w="5587"/>
            <w:vAlign w:val="center"/>
            <w:tcMar>
              <w:top w:w="85" w:type="dxa"/>
              <w:bottom w:w="85" w:type="dxa"/>
              <w:left w:w="95" w:type="dxa"/>
              <w:right w:w="95" w:type="dxa"/>
            </w:tcMar>
            <w:shd w:fill="F3F5F6"/>
          </w:tcPr>
          <w:p>
            <w:pPr>
              <w:pStyle w:val="TableText"/>
              <w:keepNext w:val="0"/>
              <w:keepLines/>
            </w:pPr>
            <w:r>
              <w:rPr>
                <w:sz w:val="20"/>
              </w:rPr>
              <w:t>Structural growth and safe traversal relationship</w:t>
            </w:r>
          </w:p>
        </w:tc>
      </w:tr>
      <w:tr>
        <w:trPr>
          <w:cantSplit/>
        </w:trPr>
        <w:tc>
          <w:tcPr>
            <w:tcW w:type="dxa" w:w="864"/>
            <w:vAlign w:val="center"/>
            <w:tcMar>
              <w:top w:w="85" w:type="dxa"/>
              <w:bottom w:w="85" w:type="dxa"/>
              <w:left w:w="95" w:type="dxa"/>
              <w:right w:w="95" w:type="dxa"/>
            </w:tcMar>
            <w:shd w:fill="FFFFFF"/>
          </w:tcPr>
          <w:p>
            <w:pPr>
              <w:pStyle w:val="TableText"/>
              <w:keepNext w:val="0"/>
              <w:keepLines/>
              <w:jc w:val="center"/>
            </w:pPr>
            <w:r>
              <w:rPr>
                <w:sz w:val="20"/>
              </w:rPr>
              <w:t>CEC11</w:t>
            </w:r>
          </w:p>
        </w:tc>
        <w:tc>
          <w:tcPr>
            <w:tcW w:type="dxa" w:w="1526"/>
            <w:vAlign w:val="center"/>
            <w:tcMar>
              <w:top w:w="85" w:type="dxa"/>
              <w:bottom w:w="85" w:type="dxa"/>
              <w:left w:w="95" w:type="dxa"/>
              <w:right w:w="95" w:type="dxa"/>
            </w:tcMar>
            <w:shd w:fill="FFFFFF"/>
          </w:tcPr>
          <w:p>
            <w:pPr>
              <w:pStyle w:val="TableText"/>
              <w:keepNext w:val="0"/>
              <w:keepLines/>
            </w:pPr>
            <w:r>
              <w:rPr>
                <w:sz w:val="20"/>
              </w:rPr>
              <w:t>Morrow</w:t>
            </w:r>
          </w:p>
        </w:tc>
        <w:tc>
          <w:tcPr>
            <w:tcW w:type="dxa" w:w="2016"/>
            <w:vAlign w:val="center"/>
            <w:tcMar>
              <w:top w:w="85" w:type="dxa"/>
              <w:bottom w:w="85" w:type="dxa"/>
              <w:left w:w="95" w:type="dxa"/>
              <w:right w:w="95" w:type="dxa"/>
            </w:tcMar>
            <w:shd w:fill="FFFFFF"/>
          </w:tcPr>
          <w:p>
            <w:pPr>
              <w:pStyle w:val="TableText"/>
              <w:keepNext w:val="0"/>
              <w:keepLines/>
            </w:pPr>
            <w:r>
              <w:rPr>
                <w:sz w:val="20"/>
              </w:rPr>
              <w:t>Basin colony</w:t>
            </w:r>
          </w:p>
        </w:tc>
        <w:tc>
          <w:tcPr>
            <w:tcW w:type="dxa" w:w="5587"/>
            <w:vAlign w:val="center"/>
            <w:tcMar>
              <w:top w:w="85" w:type="dxa"/>
              <w:bottom w:w="85" w:type="dxa"/>
              <w:left w:w="95" w:type="dxa"/>
              <w:right w:w="95" w:type="dxa"/>
            </w:tcMar>
            <w:shd w:fill="FFFFFF"/>
          </w:tcPr>
          <w:p>
            <w:pPr>
              <w:pStyle w:val="TableText"/>
              <w:keepNext w:val="0"/>
              <w:keepLines/>
            </w:pPr>
            <w:r>
              <w:rPr>
                <w:sz w:val="20"/>
              </w:rPr>
              <w:t>Tide-linked opening and route changes</w:t>
            </w:r>
          </w:p>
        </w:tc>
      </w:tr>
    </w:tbl>
    <w:p>
      <w:pPr>
        <w:spacing w:after="0" w:before="0" w:line="60" w:lineRule="exact"/>
      </w:pPr>
      <w:r>
        <w:rPr>
          <w:sz w:val="6"/>
        </w:rPr>
      </w:r>
    </w:p>
    <w:p>
      <w:pPr/>
      <w:r>
        <w:t>Moon, Ceres, Io, Pluto, and Cairn receive environmental encounter art without invented indigenous creature populations. CEC01 remains optional pending text confirmation; its existence should not be silently assumed in every Mars image.</w:t>
      </w:r>
    </w:p>
    <w:p>
      <w:pPr>
        <w:pStyle w:val="Heading3"/>
      </w:pPr>
      <w:r>
        <w:t>Supplemental space objects</w:t>
      </w:r>
    </w:p>
    <w:p>
      <w:pPr/>
      <w:r>
        <w:t xml:space="preserve">These eight subjects supplement the main equipment catalog. Each receives </w:t>
      </w:r>
      <w:r>
        <w:rPr>
          <w:b/>
        </w:rPr>
        <w:t>-OBJ</w:t>
      </w:r>
      <w:r>
        <w:t xml:space="preserve"> for an isolated design reference and </w:t>
      </w:r>
      <w:r>
        <w:rPr>
          <w:b/>
        </w:rPr>
        <w:t>-USE</w:t>
      </w:r>
      <w:r>
        <w:t xml:space="preserve"> for a destination-appropriate interaction.</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79"/>
        <w:gridCol w:w="3240"/>
        <w:gridCol w:w="5774"/>
      </w:tblGrid>
      <w:tr>
        <w:trPr>
          <w:cantSplit/>
          <w:tblHeader w:val="true"/>
        </w:trPr>
        <w:tc>
          <w:tcPr>
            <w:tcW w:type="dxa" w:w="979"/>
            <w:vAlign w:val="center"/>
            <w:tcMar>
              <w:top w:w="85" w:type="dxa"/>
              <w:bottom w:w="85" w:type="dxa"/>
              <w:left w:w="95" w:type="dxa"/>
              <w:right w:w="95" w:type="dxa"/>
            </w:tcMar>
            <w:shd w:fill="233544"/>
          </w:tcPr>
          <w:p>
            <w:pPr>
              <w:pStyle w:val="TableText"/>
              <w:keepNext w:val="0"/>
              <w:keepLines/>
              <w:jc w:val="center"/>
            </w:pPr>
            <w:r>
              <w:rPr>
                <w:b/>
                <w:color w:val="FFFFFF"/>
                <w:sz w:val="20"/>
              </w:rPr>
              <w:t>ID</w:t>
            </w:r>
          </w:p>
        </w:tc>
        <w:tc>
          <w:tcPr>
            <w:tcW w:type="dxa" w:w="3240"/>
            <w:vAlign w:val="center"/>
            <w:tcMar>
              <w:top w:w="85" w:type="dxa"/>
              <w:bottom w:w="85" w:type="dxa"/>
              <w:left w:w="95" w:type="dxa"/>
              <w:right w:w="95" w:type="dxa"/>
            </w:tcMar>
            <w:shd w:fill="233544"/>
          </w:tcPr>
          <w:p>
            <w:pPr>
              <w:pStyle w:val="TableText"/>
              <w:keepNext w:val="0"/>
              <w:keepLines/>
            </w:pPr>
            <w:r>
              <w:rPr>
                <w:b/>
                <w:color w:val="FFFFFF"/>
                <w:sz w:val="20"/>
              </w:rPr>
              <w:t>Exact object</w:t>
            </w:r>
          </w:p>
        </w:tc>
        <w:tc>
          <w:tcPr>
            <w:tcW w:type="dxa" w:w="5774"/>
            <w:vAlign w:val="center"/>
            <w:tcMar>
              <w:top w:w="85" w:type="dxa"/>
              <w:bottom w:w="85" w:type="dxa"/>
              <w:left w:w="95" w:type="dxa"/>
              <w:right w:w="95" w:type="dxa"/>
            </w:tcMar>
            <w:shd w:fill="233544"/>
          </w:tcPr>
          <w:p>
            <w:pPr>
              <w:pStyle w:val="TableText"/>
              <w:keepNext w:val="0"/>
              <w:keepLines/>
            </w:pPr>
            <w:r>
              <w:rPr>
                <w:b/>
                <w:color w:val="FFFFFF"/>
                <w:sz w:val="20"/>
              </w:rPr>
              <w:t>Use scene</w:t>
            </w:r>
          </w:p>
        </w:tc>
      </w:tr>
      <w:tr>
        <w:trPr>
          <w:cantSplit/>
        </w:trPr>
        <w:tc>
          <w:tcPr>
            <w:tcW w:type="dxa" w:w="979"/>
            <w:vAlign w:val="center"/>
            <w:tcMar>
              <w:top w:w="85" w:type="dxa"/>
              <w:bottom w:w="85" w:type="dxa"/>
              <w:left w:w="95" w:type="dxa"/>
              <w:right w:w="95" w:type="dxa"/>
            </w:tcMar>
            <w:shd w:fill="FFFFFF"/>
          </w:tcPr>
          <w:p>
            <w:pPr>
              <w:pStyle w:val="TableText"/>
              <w:keepNext w:val="0"/>
              <w:keepLines/>
              <w:jc w:val="center"/>
            </w:pPr>
            <w:r>
              <w:rPr>
                <w:sz w:val="20"/>
              </w:rPr>
              <w:t>SPX01</w:t>
            </w:r>
          </w:p>
        </w:tc>
        <w:tc>
          <w:tcPr>
            <w:tcW w:type="dxa" w:w="3240"/>
            <w:vAlign w:val="center"/>
            <w:tcMar>
              <w:top w:w="85" w:type="dxa"/>
              <w:bottom w:w="85" w:type="dxa"/>
              <w:left w:w="95" w:type="dxa"/>
              <w:right w:w="95" w:type="dxa"/>
            </w:tcMar>
            <w:shd w:fill="FFFFFF"/>
          </w:tcPr>
          <w:p>
            <w:pPr>
              <w:pStyle w:val="TableText"/>
              <w:keepNext w:val="0"/>
              <w:keepLines/>
            </w:pPr>
            <w:r>
              <w:rPr>
                <w:sz w:val="20"/>
              </w:rPr>
              <w:t>Dust-service station</w:t>
            </w:r>
          </w:p>
        </w:tc>
        <w:tc>
          <w:tcPr>
            <w:tcW w:type="dxa" w:w="5774"/>
            <w:vAlign w:val="center"/>
            <w:tcMar>
              <w:top w:w="85" w:type="dxa"/>
              <w:bottom w:w="85" w:type="dxa"/>
              <w:left w:w="95" w:type="dxa"/>
              <w:right w:w="95" w:type="dxa"/>
            </w:tcMar>
            <w:shd w:fill="FFFFFF"/>
          </w:tcPr>
          <w:p>
            <w:pPr>
              <w:pStyle w:val="TableText"/>
              <w:keepNext w:val="0"/>
              <w:keepLines/>
            </w:pPr>
            <w:r>
              <w:rPr>
                <w:sz w:val="20"/>
              </w:rPr>
              <w:t>Moon suit and machinery seal maintenance</w:t>
            </w:r>
          </w:p>
        </w:tc>
      </w:tr>
      <w:tr>
        <w:trPr>
          <w:cantSplit/>
        </w:trPr>
        <w:tc>
          <w:tcPr>
            <w:tcW w:type="dxa" w:w="979"/>
            <w:vAlign w:val="center"/>
            <w:tcMar>
              <w:top w:w="85" w:type="dxa"/>
              <w:bottom w:w="85" w:type="dxa"/>
              <w:left w:w="95" w:type="dxa"/>
              <w:right w:w="95" w:type="dxa"/>
            </w:tcMar>
            <w:shd w:fill="F3F5F6"/>
          </w:tcPr>
          <w:p>
            <w:pPr>
              <w:pStyle w:val="TableText"/>
              <w:keepNext w:val="0"/>
              <w:keepLines/>
              <w:jc w:val="center"/>
            </w:pPr>
            <w:r>
              <w:rPr>
                <w:sz w:val="20"/>
              </w:rPr>
              <w:t>SPX02</w:t>
            </w:r>
          </w:p>
        </w:tc>
        <w:tc>
          <w:tcPr>
            <w:tcW w:type="dxa" w:w="3240"/>
            <w:vAlign w:val="center"/>
            <w:tcMar>
              <w:top w:w="85" w:type="dxa"/>
              <w:bottom w:w="85" w:type="dxa"/>
              <w:left w:w="95" w:type="dxa"/>
              <w:right w:w="95" w:type="dxa"/>
            </w:tcMar>
            <w:shd w:fill="F3F5F6"/>
          </w:tcPr>
          <w:p>
            <w:pPr>
              <w:pStyle w:val="TableText"/>
              <w:keepNext w:val="0"/>
              <w:keepLines/>
            </w:pPr>
            <w:r>
              <w:rPr>
                <w:sz w:val="20"/>
              </w:rPr>
              <w:t>Brine-sampling sleeve</w:t>
            </w:r>
          </w:p>
        </w:tc>
        <w:tc>
          <w:tcPr>
            <w:tcW w:type="dxa" w:w="5774"/>
            <w:vAlign w:val="center"/>
            <w:tcMar>
              <w:top w:w="85" w:type="dxa"/>
              <w:bottom w:w="85" w:type="dxa"/>
              <w:left w:w="95" w:type="dxa"/>
              <w:right w:w="95" w:type="dxa"/>
            </w:tcMar>
            <w:shd w:fill="F3F5F6"/>
          </w:tcPr>
          <w:p>
            <w:pPr>
              <w:pStyle w:val="TableText"/>
              <w:keepNext w:val="0"/>
              <w:keepLines/>
            </w:pPr>
            <w:r>
              <w:rPr>
                <w:sz w:val="20"/>
              </w:rPr>
              <w:t>Protected Mars sample collection</w:t>
            </w:r>
          </w:p>
        </w:tc>
      </w:tr>
      <w:tr>
        <w:trPr>
          <w:cantSplit/>
        </w:trPr>
        <w:tc>
          <w:tcPr>
            <w:tcW w:type="dxa" w:w="979"/>
            <w:vAlign w:val="center"/>
            <w:tcMar>
              <w:top w:w="85" w:type="dxa"/>
              <w:bottom w:w="85" w:type="dxa"/>
              <w:left w:w="95" w:type="dxa"/>
              <w:right w:w="95" w:type="dxa"/>
            </w:tcMar>
            <w:shd w:fill="FFFFFF"/>
          </w:tcPr>
          <w:p>
            <w:pPr>
              <w:pStyle w:val="TableText"/>
              <w:keepNext w:val="0"/>
              <w:keepLines/>
              <w:jc w:val="center"/>
            </w:pPr>
            <w:r>
              <w:rPr>
                <w:sz w:val="20"/>
              </w:rPr>
              <w:t>SPX03</w:t>
            </w:r>
          </w:p>
        </w:tc>
        <w:tc>
          <w:tcPr>
            <w:tcW w:type="dxa" w:w="3240"/>
            <w:vAlign w:val="center"/>
            <w:tcMar>
              <w:top w:w="85" w:type="dxa"/>
              <w:bottom w:w="85" w:type="dxa"/>
              <w:left w:w="95" w:type="dxa"/>
              <w:right w:w="95" w:type="dxa"/>
            </w:tcMar>
            <w:shd w:fill="FFFFFF"/>
          </w:tcPr>
          <w:p>
            <w:pPr>
              <w:pStyle w:val="TableText"/>
              <w:keepNext w:val="0"/>
              <w:keepLines/>
            </w:pPr>
            <w:r>
              <w:rPr>
                <w:sz w:val="20"/>
              </w:rPr>
              <w:t>Pressure lock</w:t>
            </w:r>
          </w:p>
        </w:tc>
        <w:tc>
          <w:tcPr>
            <w:tcW w:type="dxa" w:w="5774"/>
            <w:vAlign w:val="center"/>
            <w:tcMar>
              <w:top w:w="85" w:type="dxa"/>
              <w:bottom w:w="85" w:type="dxa"/>
              <w:left w:w="95" w:type="dxa"/>
              <w:right w:w="95" w:type="dxa"/>
            </w:tcMar>
            <w:shd w:fill="FFFFFF"/>
          </w:tcPr>
          <w:p>
            <w:pPr>
              <w:pStyle w:val="TableText"/>
              <w:keepNext w:val="0"/>
              <w:keepLines/>
            </w:pPr>
            <w:r>
              <w:rPr>
                <w:sz w:val="20"/>
              </w:rPr>
              <w:t>Europa controlled transition to the submerged dock</w:t>
            </w:r>
          </w:p>
        </w:tc>
      </w:tr>
      <w:tr>
        <w:trPr>
          <w:cantSplit/>
        </w:trPr>
        <w:tc>
          <w:tcPr>
            <w:tcW w:type="dxa" w:w="979"/>
            <w:vAlign w:val="center"/>
            <w:tcMar>
              <w:top w:w="85" w:type="dxa"/>
              <w:bottom w:w="85" w:type="dxa"/>
              <w:left w:w="95" w:type="dxa"/>
              <w:right w:w="95" w:type="dxa"/>
            </w:tcMar>
            <w:shd w:fill="F3F5F6"/>
          </w:tcPr>
          <w:p>
            <w:pPr>
              <w:pStyle w:val="TableText"/>
              <w:keepNext w:val="0"/>
              <w:keepLines/>
              <w:jc w:val="center"/>
            </w:pPr>
            <w:r>
              <w:rPr>
                <w:sz w:val="20"/>
              </w:rPr>
              <w:t>SPX04</w:t>
            </w:r>
          </w:p>
        </w:tc>
        <w:tc>
          <w:tcPr>
            <w:tcW w:type="dxa" w:w="3240"/>
            <w:vAlign w:val="center"/>
            <w:tcMar>
              <w:top w:w="85" w:type="dxa"/>
              <w:bottom w:w="85" w:type="dxa"/>
              <w:left w:w="95" w:type="dxa"/>
              <w:right w:w="95" w:type="dxa"/>
            </w:tcMar>
            <w:shd w:fill="F3F5F6"/>
          </w:tcPr>
          <w:p>
            <w:pPr>
              <w:pStyle w:val="TableText"/>
              <w:keepNext w:val="0"/>
              <w:keepLines/>
            </w:pPr>
            <w:r>
              <w:rPr>
                <w:sz w:val="20"/>
              </w:rPr>
              <w:t>Protected heat-exchanger arm</w:t>
            </w:r>
          </w:p>
        </w:tc>
        <w:tc>
          <w:tcPr>
            <w:tcW w:type="dxa" w:w="5774"/>
            <w:vAlign w:val="center"/>
            <w:tcMar>
              <w:top w:w="85" w:type="dxa"/>
              <w:bottom w:w="85" w:type="dxa"/>
              <w:left w:w="95" w:type="dxa"/>
              <w:right w:w="95" w:type="dxa"/>
            </w:tcMar>
            <w:shd w:fill="F3F5F6"/>
          </w:tcPr>
          <w:p>
            <w:pPr>
              <w:pStyle w:val="TableText"/>
              <w:keepNext w:val="0"/>
              <w:keepLines/>
            </w:pPr>
            <w:r>
              <w:rPr>
                <w:sz w:val="20"/>
              </w:rPr>
              <w:t>Io commissioning within a shielded work zone</w:t>
            </w:r>
          </w:p>
        </w:tc>
      </w:tr>
      <w:tr>
        <w:trPr>
          <w:cantSplit/>
        </w:trPr>
        <w:tc>
          <w:tcPr>
            <w:tcW w:type="dxa" w:w="979"/>
            <w:vAlign w:val="center"/>
            <w:tcMar>
              <w:top w:w="85" w:type="dxa"/>
              <w:bottom w:w="85" w:type="dxa"/>
              <w:left w:w="95" w:type="dxa"/>
              <w:right w:w="95" w:type="dxa"/>
            </w:tcMar>
            <w:shd w:fill="FFFFFF"/>
          </w:tcPr>
          <w:p>
            <w:pPr>
              <w:pStyle w:val="TableText"/>
              <w:keepNext w:val="0"/>
              <w:keepLines/>
              <w:jc w:val="center"/>
            </w:pPr>
            <w:r>
              <w:rPr>
                <w:sz w:val="20"/>
              </w:rPr>
              <w:t>SPX05</w:t>
            </w:r>
          </w:p>
        </w:tc>
        <w:tc>
          <w:tcPr>
            <w:tcW w:type="dxa" w:w="3240"/>
            <w:vAlign w:val="center"/>
            <w:tcMar>
              <w:top w:w="85" w:type="dxa"/>
              <w:bottom w:w="85" w:type="dxa"/>
              <w:left w:w="95" w:type="dxa"/>
              <w:right w:w="95" w:type="dxa"/>
            </w:tcMar>
            <w:shd w:fill="FFFFFF"/>
          </w:tcPr>
          <w:p>
            <w:pPr>
              <w:pStyle w:val="TableText"/>
              <w:keepNext w:val="0"/>
              <w:keepLines/>
            </w:pPr>
            <w:r>
              <w:rPr>
                <w:sz w:val="20"/>
              </w:rPr>
              <w:t>Weather beacon</w:t>
            </w:r>
          </w:p>
        </w:tc>
        <w:tc>
          <w:tcPr>
            <w:tcW w:type="dxa" w:w="5774"/>
            <w:vAlign w:val="center"/>
            <w:tcMar>
              <w:top w:w="85" w:type="dxa"/>
              <w:bottom w:w="85" w:type="dxa"/>
              <w:left w:w="95" w:type="dxa"/>
              <w:right w:w="95" w:type="dxa"/>
            </w:tcMar>
            <w:shd w:fill="FFFFFF"/>
          </w:tcPr>
          <w:p>
            <w:pPr>
              <w:pStyle w:val="TableText"/>
              <w:keepNext w:val="0"/>
              <w:keepLines/>
            </w:pPr>
            <w:r>
              <w:rPr>
                <w:sz w:val="20"/>
              </w:rPr>
              <w:t>Titan route marking through restricted visibility</w:t>
            </w:r>
          </w:p>
        </w:tc>
      </w:tr>
      <w:tr>
        <w:trPr>
          <w:cantSplit/>
        </w:trPr>
        <w:tc>
          <w:tcPr>
            <w:tcW w:type="dxa" w:w="979"/>
            <w:vAlign w:val="center"/>
            <w:tcMar>
              <w:top w:w="85" w:type="dxa"/>
              <w:bottom w:w="85" w:type="dxa"/>
              <w:left w:w="95" w:type="dxa"/>
              <w:right w:w="95" w:type="dxa"/>
            </w:tcMar>
            <w:shd w:fill="F3F5F6"/>
          </w:tcPr>
          <w:p>
            <w:pPr>
              <w:pStyle w:val="TableText"/>
              <w:keepNext w:val="0"/>
              <w:keepLines/>
              <w:jc w:val="center"/>
            </w:pPr>
            <w:r>
              <w:rPr>
                <w:sz w:val="20"/>
              </w:rPr>
              <w:t>SPX06</w:t>
            </w:r>
          </w:p>
        </w:tc>
        <w:tc>
          <w:tcPr>
            <w:tcW w:type="dxa" w:w="3240"/>
            <w:vAlign w:val="center"/>
            <w:tcMar>
              <w:top w:w="85" w:type="dxa"/>
              <w:bottom w:w="85" w:type="dxa"/>
              <w:left w:w="95" w:type="dxa"/>
              <w:right w:w="95" w:type="dxa"/>
            </w:tcMar>
            <w:shd w:fill="F3F5F6"/>
          </w:tcPr>
          <w:p>
            <w:pPr>
              <w:pStyle w:val="TableText"/>
              <w:keepNext w:val="0"/>
              <w:keepLines/>
            </w:pPr>
            <w:r>
              <w:rPr>
                <w:sz w:val="20"/>
              </w:rPr>
              <w:t>Optical alignment instrument</w:t>
            </w:r>
          </w:p>
        </w:tc>
        <w:tc>
          <w:tcPr>
            <w:tcW w:type="dxa" w:w="5774"/>
            <w:vAlign w:val="center"/>
            <w:tcMar>
              <w:top w:w="85" w:type="dxa"/>
              <w:bottom w:w="85" w:type="dxa"/>
              <w:left w:w="95" w:type="dxa"/>
              <w:right w:w="95" w:type="dxa"/>
            </w:tcMar>
            <w:shd w:fill="F3F5F6"/>
          </w:tcPr>
          <w:p>
            <w:pPr>
              <w:pStyle w:val="TableText"/>
              <w:keepNext w:val="0"/>
              <w:keepLines/>
            </w:pPr>
            <w:r>
              <w:rPr>
                <w:sz w:val="20"/>
              </w:rPr>
              <w:t>Pluto observation and Quiet Lens calibration</w:t>
            </w:r>
          </w:p>
        </w:tc>
      </w:tr>
      <w:tr>
        <w:trPr>
          <w:cantSplit/>
        </w:trPr>
        <w:tc>
          <w:tcPr>
            <w:tcW w:type="dxa" w:w="979"/>
            <w:vAlign w:val="center"/>
            <w:tcMar>
              <w:top w:w="85" w:type="dxa"/>
              <w:bottom w:w="85" w:type="dxa"/>
              <w:left w:w="95" w:type="dxa"/>
              <w:right w:w="95" w:type="dxa"/>
            </w:tcMar>
            <w:shd w:fill="FFFFFF"/>
          </w:tcPr>
          <w:p>
            <w:pPr>
              <w:pStyle w:val="TableText"/>
              <w:keepNext w:val="0"/>
              <w:keepLines/>
              <w:jc w:val="center"/>
            </w:pPr>
            <w:r>
              <w:rPr>
                <w:sz w:val="20"/>
              </w:rPr>
              <w:t>SPX07</w:t>
            </w:r>
          </w:p>
        </w:tc>
        <w:tc>
          <w:tcPr>
            <w:tcW w:type="dxa" w:w="3240"/>
            <w:vAlign w:val="center"/>
            <w:tcMar>
              <w:top w:w="85" w:type="dxa"/>
              <w:bottom w:w="85" w:type="dxa"/>
              <w:left w:w="95" w:type="dxa"/>
              <w:right w:w="95" w:type="dxa"/>
            </w:tcMar>
            <w:shd w:fill="FFFFFF"/>
          </w:tcPr>
          <w:p>
            <w:pPr>
              <w:pStyle w:val="TableText"/>
              <w:keepNext w:val="0"/>
              <w:keepLines/>
            </w:pPr>
            <w:r>
              <w:rPr>
                <w:sz w:val="20"/>
              </w:rPr>
              <w:t>Sensitive sampling tool</w:t>
            </w:r>
          </w:p>
        </w:tc>
        <w:tc>
          <w:tcPr>
            <w:tcW w:type="dxa" w:w="5774"/>
            <w:vAlign w:val="center"/>
            <w:tcMar>
              <w:top w:w="85" w:type="dxa"/>
              <w:bottom w:w="85" w:type="dxa"/>
              <w:left w:w="95" w:type="dxa"/>
              <w:right w:w="95" w:type="dxa"/>
            </w:tcMar>
            <w:shd w:fill="FFFFFF"/>
          </w:tcPr>
          <w:p>
            <w:pPr>
              <w:pStyle w:val="TableText"/>
              <w:keepNext w:val="0"/>
              <w:keepLines/>
            </w:pPr>
            <w:r>
              <w:rPr>
                <w:sz w:val="20"/>
              </w:rPr>
              <w:t>Non-destructive collection beside a living colony</w:t>
            </w:r>
          </w:p>
        </w:tc>
      </w:tr>
      <w:tr>
        <w:trPr>
          <w:cantSplit/>
        </w:trPr>
        <w:tc>
          <w:tcPr>
            <w:tcW w:type="dxa" w:w="979"/>
            <w:vAlign w:val="center"/>
            <w:tcMar>
              <w:top w:w="85" w:type="dxa"/>
              <w:bottom w:w="85" w:type="dxa"/>
              <w:left w:w="95" w:type="dxa"/>
              <w:right w:w="95" w:type="dxa"/>
            </w:tcMar>
            <w:shd w:fill="F3F5F6"/>
          </w:tcPr>
          <w:p>
            <w:pPr>
              <w:pStyle w:val="TableText"/>
              <w:keepNext w:val="0"/>
              <w:keepLines/>
              <w:jc w:val="center"/>
            </w:pPr>
            <w:r>
              <w:rPr>
                <w:sz w:val="20"/>
              </w:rPr>
              <w:t>SPX08</w:t>
            </w:r>
          </w:p>
        </w:tc>
        <w:tc>
          <w:tcPr>
            <w:tcW w:type="dxa" w:w="3240"/>
            <w:vAlign w:val="center"/>
            <w:tcMar>
              <w:top w:w="85" w:type="dxa"/>
              <w:bottom w:w="85" w:type="dxa"/>
              <w:left w:w="95" w:type="dxa"/>
              <w:right w:w="95" w:type="dxa"/>
            </w:tcMar>
            <w:shd w:fill="F3F5F6"/>
          </w:tcPr>
          <w:p>
            <w:pPr>
              <w:pStyle w:val="TableText"/>
              <w:keepNext w:val="0"/>
              <w:keepLines/>
            </w:pPr>
            <w:r>
              <w:rPr>
                <w:sz w:val="20"/>
              </w:rPr>
              <w:t>Contained cultivation enclosure</w:t>
            </w:r>
          </w:p>
        </w:tc>
        <w:tc>
          <w:tcPr>
            <w:tcW w:type="dxa" w:w="5774"/>
            <w:vAlign w:val="center"/>
            <w:tcMar>
              <w:top w:w="85" w:type="dxa"/>
              <w:bottom w:w="85" w:type="dxa"/>
              <w:left w:w="95" w:type="dxa"/>
              <w:right w:w="95" w:type="dxa"/>
            </w:tcMar>
            <w:shd w:fill="F3F5F6"/>
          </w:tcPr>
          <w:p>
            <w:pPr>
              <w:pStyle w:val="TableText"/>
              <w:keepNext w:val="0"/>
              <w:keepLines/>
            </w:pPr>
            <w:r>
              <w:rPr>
                <w:sz w:val="20"/>
              </w:rPr>
              <w:t>Isolated research and renewable sample production</w:t>
            </w:r>
          </w:p>
        </w:tc>
      </w:tr>
    </w:tbl>
    <w:p>
      <w:pPr>
        <w:spacing w:after="0" w:before="0" w:line="60" w:lineRule="exact"/>
      </w:pPr>
      <w:r>
        <w:rPr>
          <w:sz w:val="6"/>
        </w:rPr>
      </w:r>
    </w:p>
    <w:p>
      <w:pPr/>
      <w:r>
        <w:t xml:space="preserve">The existing </w:t>
      </w:r>
      <w:r>
        <w:rPr>
          <w:b/>
        </w:rPr>
        <w:t>PM01–18</w:t>
      </w:r>
      <w:r>
        <w:t xml:space="preserve"> references remain the sole planetary material IDs. Material illustrations must show raw source, sample or feedstock, processed form where applicable, and a recognizable use; they should not depict every refined material as a mineable ore. Destination controller builds, stations, settlement projects, and main equipment remain under their master-register IDs and should cross-reference the regional views above instead of receiving competing aliases here.</w:t>
      </w:r>
    </w:p>
    <w:p>
      <w:pPr>
        <w:pStyle w:val="Heading3"/>
      </w:pPr>
      <w:r>
        <w:t>Orbital station and shared module coverage</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79"/>
        <w:gridCol w:w="3240"/>
        <w:gridCol w:w="5774"/>
      </w:tblGrid>
      <w:tr>
        <w:trPr>
          <w:cantSplit/>
          <w:tblHeader w:val="true"/>
        </w:trPr>
        <w:tc>
          <w:tcPr>
            <w:tcW w:type="dxa" w:w="979"/>
            <w:vAlign w:val="center"/>
            <w:tcMar>
              <w:top w:w="85" w:type="dxa"/>
              <w:bottom w:w="85" w:type="dxa"/>
              <w:left w:w="95" w:type="dxa"/>
              <w:right w:w="95" w:type="dxa"/>
            </w:tcMar>
            <w:shd w:fill="233544"/>
          </w:tcPr>
          <w:p>
            <w:pPr>
              <w:pStyle w:val="TableText"/>
              <w:keepNext w:val="0"/>
              <w:keepLines/>
              <w:jc w:val="center"/>
            </w:pPr>
            <w:r>
              <w:rPr>
                <w:b/>
                <w:color w:val="FFFFFF"/>
                <w:sz w:val="20"/>
              </w:rPr>
              <w:t>ID</w:t>
            </w:r>
          </w:p>
        </w:tc>
        <w:tc>
          <w:tcPr>
            <w:tcW w:type="dxa" w:w="3240"/>
            <w:vAlign w:val="center"/>
            <w:tcMar>
              <w:top w:w="85" w:type="dxa"/>
              <w:bottom w:w="85" w:type="dxa"/>
              <w:left w:w="95" w:type="dxa"/>
              <w:right w:w="95" w:type="dxa"/>
            </w:tcMar>
            <w:shd w:fill="233544"/>
          </w:tcPr>
          <w:p>
            <w:pPr>
              <w:pStyle w:val="TableText"/>
              <w:keepNext w:val="0"/>
              <w:keepLines/>
            </w:pPr>
            <w:r>
              <w:rPr>
                <w:b/>
                <w:color w:val="FFFFFF"/>
                <w:sz w:val="20"/>
              </w:rPr>
              <w:t>Subject</w:t>
            </w:r>
          </w:p>
        </w:tc>
        <w:tc>
          <w:tcPr>
            <w:tcW w:type="dxa" w:w="5774"/>
            <w:vAlign w:val="center"/>
            <w:tcMar>
              <w:top w:w="85" w:type="dxa"/>
              <w:bottom w:w="85" w:type="dxa"/>
              <w:left w:w="95" w:type="dxa"/>
              <w:right w:w="95" w:type="dxa"/>
            </w:tcMar>
            <w:shd w:fill="233544"/>
          </w:tcPr>
          <w:p>
            <w:pPr>
              <w:pStyle w:val="TableText"/>
              <w:keepNext w:val="0"/>
              <w:keepLines/>
            </w:pPr>
            <w:r>
              <w:rPr>
                <w:b/>
                <w:color w:val="FFFFFF"/>
                <w:sz w:val="20"/>
              </w:rPr>
              <w:t>Required views</w:t>
            </w:r>
          </w:p>
        </w:tc>
      </w:tr>
      <w:tr>
        <w:trPr>
          <w:cantSplit/>
        </w:trPr>
        <w:tc>
          <w:tcPr>
            <w:tcW w:type="dxa" w:w="979"/>
            <w:vAlign w:val="center"/>
            <w:tcMar>
              <w:top w:w="85" w:type="dxa"/>
              <w:bottom w:w="85" w:type="dxa"/>
              <w:left w:w="95" w:type="dxa"/>
              <w:right w:w="95" w:type="dxa"/>
            </w:tcMar>
            <w:shd w:fill="FFFFFF"/>
          </w:tcPr>
          <w:p>
            <w:pPr>
              <w:pStyle w:val="TableText"/>
              <w:keepNext w:val="0"/>
              <w:keepLines/>
              <w:jc w:val="center"/>
            </w:pPr>
            <w:r>
              <w:rPr>
                <w:sz w:val="20"/>
              </w:rPr>
              <w:t>STA01</w:t>
            </w:r>
          </w:p>
        </w:tc>
        <w:tc>
          <w:tcPr>
            <w:tcW w:type="dxa" w:w="3240"/>
            <w:vAlign w:val="center"/>
            <w:tcMar>
              <w:top w:w="85" w:type="dxa"/>
              <w:bottom w:w="85" w:type="dxa"/>
              <w:left w:w="95" w:type="dxa"/>
              <w:right w:w="95" w:type="dxa"/>
            </w:tcMar>
            <w:shd w:fill="FFFFFF"/>
          </w:tcPr>
          <w:p>
            <w:pPr>
              <w:pStyle w:val="TableText"/>
              <w:keepNext w:val="0"/>
              <w:keepLines/>
            </w:pPr>
            <w:r>
              <w:rPr>
                <w:sz w:val="20"/>
              </w:rPr>
              <w:t>Home Orbit Anchorage</w:t>
            </w:r>
          </w:p>
        </w:tc>
        <w:tc>
          <w:tcPr>
            <w:tcW w:type="dxa" w:w="5774"/>
            <w:vAlign w:val="center"/>
            <w:tcMar>
              <w:top w:w="85" w:type="dxa"/>
              <w:bottom w:w="85" w:type="dxa"/>
              <w:left w:w="95" w:type="dxa"/>
              <w:right w:w="95" w:type="dxa"/>
            </w:tcMar>
            <w:shd w:fill="FFFFFF"/>
          </w:tcPr>
          <w:p>
            <w:pPr>
              <w:pStyle w:val="TableText"/>
              <w:keepNext w:val="0"/>
              <w:keepLines/>
            </w:pPr>
            <w:r>
              <w:rPr>
                <w:sz w:val="20"/>
              </w:rPr>
              <w:t>Exterior above Earth, docking approach, observation room, working storage and service interior.</w:t>
            </w:r>
          </w:p>
        </w:tc>
      </w:tr>
      <w:tr>
        <w:trPr>
          <w:cantSplit/>
        </w:trPr>
        <w:tc>
          <w:tcPr>
            <w:tcW w:type="dxa" w:w="979"/>
            <w:vAlign w:val="center"/>
            <w:tcMar>
              <w:top w:w="85" w:type="dxa"/>
              <w:bottom w:w="85" w:type="dxa"/>
              <w:left w:w="95" w:type="dxa"/>
              <w:right w:w="95" w:type="dxa"/>
            </w:tcMar>
            <w:shd w:fill="F3F5F6"/>
          </w:tcPr>
          <w:p>
            <w:pPr>
              <w:pStyle w:val="TableText"/>
              <w:keepNext w:val="0"/>
              <w:keepLines/>
              <w:jc w:val="center"/>
            </w:pPr>
            <w:r>
              <w:rPr>
                <w:sz w:val="20"/>
              </w:rPr>
              <w:t>STA02</w:t>
            </w:r>
          </w:p>
        </w:tc>
        <w:tc>
          <w:tcPr>
            <w:tcW w:type="dxa" w:w="3240"/>
            <w:vAlign w:val="center"/>
            <w:tcMar>
              <w:top w:w="85" w:type="dxa"/>
              <w:bottom w:w="85" w:type="dxa"/>
              <w:left w:w="95" w:type="dxa"/>
              <w:right w:w="95" w:type="dxa"/>
            </w:tcMar>
            <w:shd w:fill="F3F5F6"/>
          </w:tcPr>
          <w:p>
            <w:pPr>
              <w:pStyle w:val="TableText"/>
              <w:keepNext w:val="0"/>
              <w:keepLines/>
            </w:pPr>
            <w:r>
              <w:rPr>
                <w:sz w:val="20"/>
              </w:rPr>
              <w:t>Transfer Yard</w:t>
            </w:r>
          </w:p>
        </w:tc>
        <w:tc>
          <w:tcPr>
            <w:tcW w:type="dxa" w:w="5774"/>
            <w:vAlign w:val="center"/>
            <w:tcMar>
              <w:top w:w="85" w:type="dxa"/>
              <w:bottom w:w="85" w:type="dxa"/>
              <w:left w:w="95" w:type="dxa"/>
              <w:right w:w="95" w:type="dxa"/>
            </w:tcMar>
            <w:shd w:fill="F3F5F6"/>
          </w:tcPr>
          <w:p>
            <w:pPr>
              <w:pStyle w:val="TableText"/>
              <w:keepNext w:val="0"/>
              <w:keepLines/>
            </w:pPr>
            <w:r>
              <w:rPr>
                <w:sz w:val="20"/>
              </w:rPr>
              <w:t>Exterior at an established route node, cargo arrival, refuge interior, staged expansion.</w:t>
            </w:r>
          </w:p>
        </w:tc>
      </w:tr>
      <w:tr>
        <w:trPr>
          <w:cantSplit/>
        </w:trPr>
        <w:tc>
          <w:tcPr>
            <w:tcW w:type="dxa" w:w="979"/>
            <w:vAlign w:val="center"/>
            <w:tcMar>
              <w:top w:w="85" w:type="dxa"/>
              <w:bottom w:w="85" w:type="dxa"/>
              <w:left w:w="95" w:type="dxa"/>
              <w:right w:w="95" w:type="dxa"/>
            </w:tcMar>
            <w:shd w:fill="FFFFFF"/>
          </w:tcPr>
          <w:p>
            <w:pPr>
              <w:pStyle w:val="TableText"/>
              <w:keepNext w:val="0"/>
              <w:keepLines/>
              <w:jc w:val="center"/>
            </w:pPr>
            <w:r>
              <w:rPr>
                <w:sz w:val="20"/>
              </w:rPr>
              <w:t>STA03</w:t>
            </w:r>
          </w:p>
        </w:tc>
        <w:tc>
          <w:tcPr>
            <w:tcW w:type="dxa" w:w="3240"/>
            <w:vAlign w:val="center"/>
            <w:tcMar>
              <w:top w:w="85" w:type="dxa"/>
              <w:bottom w:w="85" w:type="dxa"/>
              <w:left w:w="95" w:type="dxa"/>
              <w:right w:w="95" w:type="dxa"/>
            </w:tcMar>
            <w:shd w:fill="FFFFFF"/>
          </w:tcPr>
          <w:p>
            <w:pPr>
              <w:pStyle w:val="TableText"/>
              <w:keepNext w:val="0"/>
              <w:keepLines/>
            </w:pPr>
            <w:r>
              <w:rPr>
                <w:sz w:val="20"/>
              </w:rPr>
              <w:t>Shared station modules</w:t>
            </w:r>
          </w:p>
        </w:tc>
        <w:tc>
          <w:tcPr>
            <w:tcW w:type="dxa" w:w="5774"/>
            <w:vAlign w:val="center"/>
            <w:tcMar>
              <w:top w:w="85" w:type="dxa"/>
              <w:bottom w:w="85" w:type="dxa"/>
              <w:left w:w="95" w:type="dxa"/>
              <w:right w:w="95" w:type="dxa"/>
            </w:tcMar>
            <w:shd w:fill="FFFFFF"/>
          </w:tcPr>
          <w:p>
            <w:pPr>
              <w:pStyle w:val="TableText"/>
              <w:keepNext w:val="0"/>
              <w:keepLines/>
            </w:pPr>
            <w:r>
              <w:rPr>
                <w:sz w:val="20"/>
              </w:rPr>
              <w:t>Individually labeled docking collar, pressure corridor, window room, storage spine, power module, service panel, and emergency refuge.</w:t>
            </w:r>
          </w:p>
        </w:tc>
      </w:tr>
    </w:tbl>
    <w:p>
      <w:pPr>
        <w:spacing w:after="0" w:before="0" w:line="60" w:lineRule="exact"/>
      </w:pPr>
      <w:r>
        <w:rPr>
          <w:sz w:val="6"/>
        </w:rPr>
      </w:r>
    </w:p>
    <w:p>
      <w:pPr/>
      <w:r>
        <w:t>Station and spacecraft diagrams that explain exact connections use drawn layouts. Station concept images show occupancy, scale, construction language, and the relationship to the surrounding view.</w:t>
      </w:r>
    </w:p>
    <w:p>
      <w:pPr>
        <w:pStyle w:val="Heading2"/>
      </w:pPr>
      <w:r>
        <w:t>Living settlements and construction image register</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79"/>
        <w:gridCol w:w="3240"/>
        <w:gridCol w:w="5774"/>
      </w:tblGrid>
      <w:tr>
        <w:trPr>
          <w:cantSplit/>
          <w:tblHeader w:val="true"/>
        </w:trPr>
        <w:tc>
          <w:tcPr>
            <w:tcW w:type="dxa" w:w="979"/>
            <w:vAlign w:val="center"/>
            <w:tcMar>
              <w:top w:w="85" w:type="dxa"/>
              <w:bottom w:w="85" w:type="dxa"/>
              <w:left w:w="95" w:type="dxa"/>
              <w:right w:w="95" w:type="dxa"/>
            </w:tcMar>
            <w:shd w:fill="233544"/>
          </w:tcPr>
          <w:p>
            <w:pPr>
              <w:pStyle w:val="TableText"/>
              <w:keepNext w:val="0"/>
              <w:keepLines/>
              <w:jc w:val="center"/>
            </w:pPr>
            <w:r>
              <w:rPr>
                <w:b/>
                <w:color w:val="FFFFFF"/>
                <w:sz w:val="20"/>
              </w:rPr>
              <w:t>ID</w:t>
            </w:r>
          </w:p>
        </w:tc>
        <w:tc>
          <w:tcPr>
            <w:tcW w:type="dxa" w:w="3240"/>
            <w:vAlign w:val="center"/>
            <w:tcMar>
              <w:top w:w="85" w:type="dxa"/>
              <w:bottom w:w="85" w:type="dxa"/>
              <w:left w:w="95" w:type="dxa"/>
              <w:right w:w="95" w:type="dxa"/>
            </w:tcMar>
            <w:shd w:fill="233544"/>
          </w:tcPr>
          <w:p>
            <w:pPr>
              <w:pStyle w:val="TableText"/>
              <w:keepNext w:val="0"/>
              <w:keepLines/>
            </w:pPr>
            <w:r>
              <w:rPr>
                <w:b/>
                <w:color w:val="FFFFFF"/>
                <w:sz w:val="20"/>
              </w:rPr>
              <w:t>Subject</w:t>
            </w:r>
          </w:p>
        </w:tc>
        <w:tc>
          <w:tcPr>
            <w:tcW w:type="dxa" w:w="5774"/>
            <w:vAlign w:val="center"/>
            <w:tcMar>
              <w:top w:w="85" w:type="dxa"/>
              <w:bottom w:w="85" w:type="dxa"/>
              <w:left w:w="95" w:type="dxa"/>
              <w:right w:w="95" w:type="dxa"/>
            </w:tcMar>
            <w:shd w:fill="233544"/>
          </w:tcPr>
          <w:p>
            <w:pPr>
              <w:pStyle w:val="TableText"/>
              <w:keepNext w:val="0"/>
              <w:keepLines/>
            </w:pPr>
            <w:r>
              <w:rPr>
                <w:b/>
                <w:color w:val="FFFFFF"/>
                <w:sz w:val="20"/>
              </w:rPr>
              <w:t>Required coverage</w:t>
            </w:r>
          </w:p>
        </w:tc>
      </w:tr>
      <w:tr>
        <w:trPr>
          <w:cantSplit/>
        </w:trPr>
        <w:tc>
          <w:tcPr>
            <w:tcW w:type="dxa" w:w="979"/>
            <w:vAlign w:val="center"/>
            <w:tcMar>
              <w:top w:w="85" w:type="dxa"/>
              <w:bottom w:w="85" w:type="dxa"/>
              <w:left w:w="95" w:type="dxa"/>
              <w:right w:w="95" w:type="dxa"/>
            </w:tcMar>
            <w:shd w:fill="FFFFFF"/>
          </w:tcPr>
          <w:p>
            <w:pPr>
              <w:pStyle w:val="TableText"/>
              <w:keepNext w:val="0"/>
              <w:keepLines/>
              <w:jc w:val="center"/>
            </w:pPr>
            <w:r>
              <w:rPr>
                <w:sz w:val="20"/>
              </w:rPr>
              <w:t>SET01</w:t>
            </w:r>
          </w:p>
        </w:tc>
        <w:tc>
          <w:tcPr>
            <w:tcW w:type="dxa" w:w="3240"/>
            <w:vAlign w:val="center"/>
            <w:tcMar>
              <w:top w:w="85" w:type="dxa"/>
              <w:bottom w:w="85" w:type="dxa"/>
              <w:left w:w="95" w:type="dxa"/>
              <w:right w:w="95" w:type="dxa"/>
            </w:tcMar>
            <w:shd w:fill="FFFFFF"/>
          </w:tcPr>
          <w:p>
            <w:pPr>
              <w:pStyle w:val="TableText"/>
              <w:keepNext w:val="0"/>
              <w:keepLines/>
            </w:pPr>
            <w:r>
              <w:rPr>
                <w:sz w:val="20"/>
              </w:rPr>
              <w:t>A place to stay</w:t>
            </w:r>
          </w:p>
        </w:tc>
        <w:tc>
          <w:tcPr>
            <w:tcW w:type="dxa" w:w="5774"/>
            <w:vAlign w:val="center"/>
            <w:tcMar>
              <w:top w:w="85" w:type="dxa"/>
              <w:bottom w:w="85" w:type="dxa"/>
              <w:left w:w="95" w:type="dxa"/>
              <w:right w:w="95" w:type="dxa"/>
            </w:tcMar>
            <w:shd w:fill="FFFFFF"/>
          </w:tcPr>
          <w:p>
            <w:pPr>
              <w:pStyle w:val="TableText"/>
              <w:keepNext w:val="0"/>
              <w:keepLines/>
            </w:pPr>
            <w:r>
              <w:rPr>
                <w:sz w:val="20"/>
              </w:rPr>
              <w:t>Guesthouse arrival, visible repair stage, working room and common area.</w:t>
            </w:r>
          </w:p>
        </w:tc>
      </w:tr>
      <w:tr>
        <w:trPr>
          <w:cantSplit/>
        </w:trPr>
        <w:tc>
          <w:tcPr>
            <w:tcW w:type="dxa" w:w="979"/>
            <w:vAlign w:val="center"/>
            <w:tcMar>
              <w:top w:w="85" w:type="dxa"/>
              <w:bottom w:w="85" w:type="dxa"/>
              <w:left w:w="95" w:type="dxa"/>
              <w:right w:w="95" w:type="dxa"/>
            </w:tcMar>
            <w:shd w:fill="F3F5F6"/>
          </w:tcPr>
          <w:p>
            <w:pPr>
              <w:pStyle w:val="TableText"/>
              <w:keepNext w:val="0"/>
              <w:keepLines/>
              <w:jc w:val="center"/>
            </w:pPr>
            <w:r>
              <w:rPr>
                <w:sz w:val="20"/>
              </w:rPr>
              <w:t>SET02</w:t>
            </w:r>
          </w:p>
        </w:tc>
        <w:tc>
          <w:tcPr>
            <w:tcW w:type="dxa" w:w="3240"/>
            <w:vAlign w:val="center"/>
            <w:tcMar>
              <w:top w:w="85" w:type="dxa"/>
              <w:bottom w:w="85" w:type="dxa"/>
              <w:left w:w="95" w:type="dxa"/>
              <w:right w:w="95" w:type="dxa"/>
            </w:tcMar>
            <w:shd w:fill="F3F5F6"/>
          </w:tcPr>
          <w:p>
            <w:pPr>
              <w:pStyle w:val="TableText"/>
              <w:keepNext w:val="0"/>
              <w:keepLines/>
            </w:pPr>
            <w:r>
              <w:rPr>
                <w:sz w:val="20"/>
              </w:rPr>
              <w:t>The old crossing</w:t>
            </w:r>
          </w:p>
        </w:tc>
        <w:tc>
          <w:tcPr>
            <w:tcW w:type="dxa" w:w="5774"/>
            <w:vAlign w:val="center"/>
            <w:tcMar>
              <w:top w:w="85" w:type="dxa"/>
              <w:bottom w:w="85" w:type="dxa"/>
              <w:left w:w="95" w:type="dxa"/>
              <w:right w:w="95" w:type="dxa"/>
            </w:tcMar>
            <w:shd w:fill="F3F5F6"/>
          </w:tcPr>
          <w:p>
            <w:pPr>
              <w:pStyle w:val="TableText"/>
              <w:keepNext w:val="0"/>
              <w:keepLines/>
            </w:pPr>
            <w:r>
              <w:rPr>
                <w:sz w:val="20"/>
              </w:rPr>
              <w:t>Damaged span, approved support and deck stages, completed crossing in use.</w:t>
            </w:r>
          </w:p>
        </w:tc>
      </w:tr>
      <w:tr>
        <w:trPr>
          <w:cantSplit/>
        </w:trPr>
        <w:tc>
          <w:tcPr>
            <w:tcW w:type="dxa" w:w="979"/>
            <w:vAlign w:val="center"/>
            <w:tcMar>
              <w:top w:w="85" w:type="dxa"/>
              <w:bottom w:w="85" w:type="dxa"/>
              <w:left w:w="95" w:type="dxa"/>
              <w:right w:w="95" w:type="dxa"/>
            </w:tcMar>
            <w:shd w:fill="FFFFFF"/>
          </w:tcPr>
          <w:p>
            <w:pPr>
              <w:pStyle w:val="TableText"/>
              <w:keepNext w:val="0"/>
              <w:keepLines/>
              <w:jc w:val="center"/>
            </w:pPr>
            <w:r>
              <w:rPr>
                <w:sz w:val="20"/>
              </w:rPr>
              <w:t>SET03</w:t>
            </w:r>
          </w:p>
        </w:tc>
        <w:tc>
          <w:tcPr>
            <w:tcW w:type="dxa" w:w="3240"/>
            <w:vAlign w:val="center"/>
            <w:tcMar>
              <w:top w:w="85" w:type="dxa"/>
              <w:bottom w:w="85" w:type="dxa"/>
              <w:left w:w="95" w:type="dxa"/>
              <w:right w:w="95" w:type="dxa"/>
            </w:tcMar>
            <w:shd w:fill="FFFFFF"/>
          </w:tcPr>
          <w:p>
            <w:pPr>
              <w:pStyle w:val="TableText"/>
              <w:keepNext w:val="0"/>
              <w:keepLines/>
            </w:pPr>
            <w:r>
              <w:rPr>
                <w:sz w:val="20"/>
              </w:rPr>
              <w:t>The quarry</w:t>
            </w:r>
          </w:p>
        </w:tc>
        <w:tc>
          <w:tcPr>
            <w:tcW w:type="dxa" w:w="5774"/>
            <w:vAlign w:val="center"/>
            <w:tcMar>
              <w:top w:w="85" w:type="dxa"/>
              <w:bottom w:w="85" w:type="dxa"/>
              <w:left w:w="95" w:type="dxa"/>
              <w:right w:w="95" w:type="dxa"/>
            </w:tcMar>
            <w:shd w:fill="FFFFFF"/>
          </w:tcPr>
          <w:p>
            <w:pPr>
              <w:pStyle w:val="TableText"/>
              <w:keepNext w:val="0"/>
              <w:keepLines/>
            </w:pPr>
            <w:r>
              <w:rPr>
                <w:sz w:val="20"/>
              </w:rPr>
              <w:t>Working landscape, handling equipment, restored work area, first underground invitation.</w:t>
            </w:r>
          </w:p>
        </w:tc>
      </w:tr>
      <w:tr>
        <w:trPr>
          <w:cantSplit/>
        </w:trPr>
        <w:tc>
          <w:tcPr>
            <w:tcW w:type="dxa" w:w="979"/>
            <w:vAlign w:val="center"/>
            <w:tcMar>
              <w:top w:w="85" w:type="dxa"/>
              <w:bottom w:w="85" w:type="dxa"/>
              <w:left w:w="95" w:type="dxa"/>
              <w:right w:w="95" w:type="dxa"/>
            </w:tcMar>
            <w:shd w:fill="F3F5F6"/>
          </w:tcPr>
          <w:p>
            <w:pPr>
              <w:pStyle w:val="TableText"/>
              <w:keepNext w:val="0"/>
              <w:keepLines/>
              <w:jc w:val="center"/>
            </w:pPr>
            <w:r>
              <w:rPr>
                <w:sz w:val="20"/>
              </w:rPr>
              <w:t>SET04</w:t>
            </w:r>
          </w:p>
        </w:tc>
        <w:tc>
          <w:tcPr>
            <w:tcW w:type="dxa" w:w="3240"/>
            <w:vAlign w:val="center"/>
            <w:tcMar>
              <w:top w:w="85" w:type="dxa"/>
              <w:bottom w:w="85" w:type="dxa"/>
              <w:left w:w="95" w:type="dxa"/>
              <w:right w:w="95" w:type="dxa"/>
            </w:tcMar>
            <w:shd w:fill="F3F5F6"/>
          </w:tcPr>
          <w:p>
            <w:pPr>
              <w:pStyle w:val="TableText"/>
              <w:keepNext w:val="0"/>
              <w:keepLines/>
            </w:pPr>
            <w:r>
              <w:rPr>
                <w:sz w:val="20"/>
              </w:rPr>
              <w:t>A working settlement</w:t>
            </w:r>
          </w:p>
        </w:tc>
        <w:tc>
          <w:tcPr>
            <w:tcW w:type="dxa" w:w="5774"/>
            <w:vAlign w:val="center"/>
            <w:tcMar>
              <w:top w:w="85" w:type="dxa"/>
              <w:bottom w:w="85" w:type="dxa"/>
              <w:left w:w="95" w:type="dxa"/>
              <w:right w:w="95" w:type="dxa"/>
            </w:tcMar>
            <w:shd w:fill="F3F5F6"/>
          </w:tcPr>
          <w:p>
            <w:pPr>
              <w:pStyle w:val="TableText"/>
              <w:keepNext w:val="0"/>
              <w:keepLines/>
            </w:pPr>
            <w:r>
              <w:rPr>
                <w:sz w:val="20"/>
              </w:rPr>
              <w:t>Mill, workshop, market preparations, and a view explaining their physical relationship.</w:t>
            </w:r>
          </w:p>
        </w:tc>
      </w:tr>
      <w:tr>
        <w:trPr>
          <w:cantSplit/>
        </w:trPr>
        <w:tc>
          <w:tcPr>
            <w:tcW w:type="dxa" w:w="979"/>
            <w:vAlign w:val="center"/>
            <w:tcMar>
              <w:top w:w="85" w:type="dxa"/>
              <w:bottom w:w="85" w:type="dxa"/>
              <w:left w:w="95" w:type="dxa"/>
              <w:right w:w="95" w:type="dxa"/>
            </w:tcMar>
            <w:shd w:fill="FFFFFF"/>
          </w:tcPr>
          <w:p>
            <w:pPr>
              <w:pStyle w:val="TableText"/>
              <w:keepNext w:val="0"/>
              <w:keepLines/>
              <w:jc w:val="center"/>
            </w:pPr>
            <w:r>
              <w:rPr>
                <w:sz w:val="20"/>
              </w:rPr>
              <w:t>SET05</w:t>
            </w:r>
          </w:p>
        </w:tc>
        <w:tc>
          <w:tcPr>
            <w:tcW w:type="dxa" w:w="3240"/>
            <w:vAlign w:val="center"/>
            <w:tcMar>
              <w:top w:w="85" w:type="dxa"/>
              <w:bottom w:w="85" w:type="dxa"/>
              <w:left w:w="95" w:type="dxa"/>
              <w:right w:w="95" w:type="dxa"/>
            </w:tcMar>
            <w:shd w:fill="FFFFFF"/>
          </w:tcPr>
          <w:p>
            <w:pPr>
              <w:pStyle w:val="TableText"/>
              <w:keepNext w:val="0"/>
              <w:keepLines/>
            </w:pPr>
            <w:r>
              <w:rPr>
                <w:sz w:val="20"/>
              </w:rPr>
              <w:t>The first market</w:t>
            </w:r>
          </w:p>
        </w:tc>
        <w:tc>
          <w:tcPr>
            <w:tcW w:type="dxa" w:w="5774"/>
            <w:vAlign w:val="center"/>
            <w:tcMar>
              <w:top w:w="85" w:type="dxa"/>
              <w:bottom w:w="85" w:type="dxa"/>
              <w:left w:w="95" w:type="dxa"/>
              <w:right w:w="95" w:type="dxa"/>
            </w:tcMar>
            <w:shd w:fill="FFFFFF"/>
          </w:tcPr>
          <w:p>
            <w:pPr>
              <w:pStyle w:val="TableText"/>
              <w:keepNext w:val="0"/>
              <w:keepLines/>
            </w:pPr>
            <w:r>
              <w:rPr>
                <w:sz w:val="20"/>
              </w:rPr>
              <w:t>Visitor arrival, occupied stalls, familiar residents, guesthouse activity, and a calm close view.</w:t>
            </w:r>
          </w:p>
        </w:tc>
      </w:tr>
      <w:tr>
        <w:trPr>
          <w:cantSplit/>
        </w:trPr>
        <w:tc>
          <w:tcPr>
            <w:tcW w:type="dxa" w:w="979"/>
            <w:vAlign w:val="center"/>
            <w:tcMar>
              <w:top w:w="85" w:type="dxa"/>
              <w:bottom w:w="85" w:type="dxa"/>
              <w:left w:w="95" w:type="dxa"/>
              <w:right w:w="95" w:type="dxa"/>
            </w:tcMar>
            <w:shd w:fill="F3F5F6"/>
          </w:tcPr>
          <w:p>
            <w:pPr>
              <w:pStyle w:val="TableText"/>
              <w:keepNext w:val="0"/>
              <w:keepLines/>
              <w:jc w:val="center"/>
            </w:pPr>
            <w:r>
              <w:rPr>
                <w:sz w:val="20"/>
              </w:rPr>
              <w:t>SET06</w:t>
            </w:r>
          </w:p>
        </w:tc>
        <w:tc>
          <w:tcPr>
            <w:tcW w:type="dxa" w:w="3240"/>
            <w:vAlign w:val="center"/>
            <w:tcMar>
              <w:top w:w="85" w:type="dxa"/>
              <w:bottom w:w="85" w:type="dxa"/>
              <w:left w:w="95" w:type="dxa"/>
              <w:right w:w="95" w:type="dxa"/>
            </w:tcMar>
            <w:shd w:fill="F3F5F6"/>
          </w:tcPr>
          <w:p>
            <w:pPr>
              <w:pStyle w:val="TableText"/>
              <w:keepNext w:val="0"/>
              <w:keepLines/>
            </w:pPr>
            <w:r>
              <w:rPr>
                <w:sz w:val="20"/>
              </w:rPr>
              <w:t>Surface route infrastructure</w:t>
            </w:r>
          </w:p>
        </w:tc>
        <w:tc>
          <w:tcPr>
            <w:tcW w:type="dxa" w:w="5774"/>
            <w:vAlign w:val="center"/>
            <w:tcMar>
              <w:top w:w="85" w:type="dxa"/>
              <w:bottom w:w="85" w:type="dxa"/>
              <w:left w:w="95" w:type="dxa"/>
              <w:right w:w="95" w:type="dxa"/>
            </w:tcMar>
            <w:shd w:fill="F3F5F6"/>
          </w:tcPr>
          <w:p>
            <w:pPr>
              <w:pStyle w:val="TableText"/>
              <w:keepNext w:val="0"/>
              <w:keepLines/>
            </w:pPr>
            <w:r>
              <w:rPr>
                <w:sz w:val="20"/>
              </w:rPr>
              <w:t>Wayside shelter, modest crossing, lookout, and freight area as individually labeled forms.</w:t>
            </w:r>
          </w:p>
        </w:tc>
      </w:tr>
      <w:tr>
        <w:trPr>
          <w:cantSplit/>
        </w:trPr>
        <w:tc>
          <w:tcPr>
            <w:tcW w:type="dxa" w:w="979"/>
            <w:vAlign w:val="center"/>
            <w:tcMar>
              <w:top w:w="85" w:type="dxa"/>
              <w:bottom w:w="85" w:type="dxa"/>
              <w:left w:w="95" w:type="dxa"/>
              <w:right w:w="95" w:type="dxa"/>
            </w:tcMar>
            <w:shd w:fill="FFFFFF"/>
          </w:tcPr>
          <w:p>
            <w:pPr>
              <w:pStyle w:val="TableText"/>
              <w:keepNext w:val="0"/>
              <w:keepLines/>
              <w:jc w:val="center"/>
            </w:pPr>
            <w:r>
              <w:rPr>
                <w:sz w:val="20"/>
              </w:rPr>
              <w:t>SET07</w:t>
            </w:r>
          </w:p>
        </w:tc>
        <w:tc>
          <w:tcPr>
            <w:tcW w:type="dxa" w:w="3240"/>
            <w:vAlign w:val="center"/>
            <w:tcMar>
              <w:top w:w="85" w:type="dxa"/>
              <w:bottom w:w="85" w:type="dxa"/>
              <w:left w:w="95" w:type="dxa"/>
              <w:right w:w="95" w:type="dxa"/>
            </w:tcMar>
            <w:shd w:fill="FFFFFF"/>
          </w:tcPr>
          <w:p>
            <w:pPr>
              <w:pStyle w:val="TableText"/>
              <w:keepNext w:val="0"/>
              <w:keepLines/>
            </w:pPr>
            <w:r>
              <w:rPr>
                <w:sz w:val="20"/>
              </w:rPr>
              <w:t>Underground route infrastructure</w:t>
            </w:r>
          </w:p>
        </w:tc>
        <w:tc>
          <w:tcPr>
            <w:tcW w:type="dxa" w:w="5774"/>
            <w:vAlign w:val="center"/>
            <w:tcMar>
              <w:top w:w="85" w:type="dxa"/>
              <w:bottom w:w="85" w:type="dxa"/>
              <w:left w:w="95" w:type="dxa"/>
              <w:right w:w="95" w:type="dxa"/>
            </w:tcMar>
            <w:shd w:fill="FFFFFF"/>
          </w:tcPr>
          <w:p>
            <w:pPr>
              <w:pStyle w:val="TableText"/>
              <w:keepNext w:val="0"/>
              <w:keepLines/>
            </w:pPr>
            <w:r>
              <w:rPr>
                <w:sz w:val="20"/>
              </w:rPr>
              <w:t>Entrance station, lift landing, survey post, supply cache, dock, and anchored observation point.</w:t>
            </w:r>
          </w:p>
        </w:tc>
      </w:tr>
      <w:tr>
        <w:trPr>
          <w:cantSplit/>
        </w:trPr>
        <w:tc>
          <w:tcPr>
            <w:tcW w:type="dxa" w:w="979"/>
            <w:vAlign w:val="center"/>
            <w:tcMar>
              <w:top w:w="85" w:type="dxa"/>
              <w:bottom w:w="85" w:type="dxa"/>
              <w:left w:w="95" w:type="dxa"/>
              <w:right w:w="95" w:type="dxa"/>
            </w:tcMar>
            <w:shd w:fill="F3F5F6"/>
          </w:tcPr>
          <w:p>
            <w:pPr>
              <w:pStyle w:val="TableText"/>
              <w:keepNext w:val="0"/>
              <w:keepLines/>
              <w:jc w:val="center"/>
            </w:pPr>
            <w:r>
              <w:rPr>
                <w:sz w:val="20"/>
              </w:rPr>
              <w:t>SET08</w:t>
            </w:r>
          </w:p>
        </w:tc>
        <w:tc>
          <w:tcPr>
            <w:tcW w:type="dxa" w:w="3240"/>
            <w:vAlign w:val="center"/>
            <w:tcMar>
              <w:top w:w="85" w:type="dxa"/>
              <w:bottom w:w="85" w:type="dxa"/>
              <w:left w:w="95" w:type="dxa"/>
              <w:right w:w="95" w:type="dxa"/>
            </w:tcMar>
            <w:shd w:fill="F3F5F6"/>
          </w:tcPr>
          <w:p>
            <w:pPr>
              <w:pStyle w:val="TableText"/>
              <w:keepNext w:val="0"/>
              <w:keepLines/>
            </w:pPr>
            <w:r>
              <w:rPr>
                <w:sz w:val="20"/>
              </w:rPr>
              <w:t>Planetary habitat project</w:t>
            </w:r>
          </w:p>
        </w:tc>
        <w:tc>
          <w:tcPr>
            <w:tcW w:type="dxa" w:w="5774"/>
            <w:vAlign w:val="center"/>
            <w:tcMar>
              <w:top w:w="85" w:type="dxa"/>
              <w:bottom w:w="85" w:type="dxa"/>
              <w:left w:w="95" w:type="dxa"/>
              <w:right w:w="95" w:type="dxa"/>
            </w:tcMar>
            <w:shd w:fill="F3F5F6"/>
          </w:tcPr>
          <w:p>
            <w:pPr>
              <w:pStyle w:val="TableText"/>
              <w:keepNext w:val="0"/>
              <w:keepLines/>
            </w:pPr>
            <w:r>
              <w:rPr>
                <w:sz w:val="20"/>
              </w:rPr>
              <w:t>Delivered modules, construction stages, functioning airlock, lab, utilities, and protected living space.</w:t>
            </w:r>
          </w:p>
        </w:tc>
      </w:tr>
      <w:tr>
        <w:trPr>
          <w:cantSplit/>
        </w:trPr>
        <w:tc>
          <w:tcPr>
            <w:tcW w:type="dxa" w:w="979"/>
            <w:vAlign w:val="center"/>
            <w:tcMar>
              <w:top w:w="85" w:type="dxa"/>
              <w:bottom w:w="85" w:type="dxa"/>
              <w:left w:w="95" w:type="dxa"/>
              <w:right w:w="95" w:type="dxa"/>
            </w:tcMar>
            <w:shd w:fill="FFFFFF"/>
          </w:tcPr>
          <w:p>
            <w:pPr>
              <w:pStyle w:val="TableText"/>
              <w:keepNext w:val="0"/>
              <w:keepLines/>
              <w:jc w:val="center"/>
            </w:pPr>
            <w:r>
              <w:rPr>
                <w:sz w:val="20"/>
              </w:rPr>
              <w:t>SET09</w:t>
            </w:r>
          </w:p>
        </w:tc>
        <w:tc>
          <w:tcPr>
            <w:tcW w:type="dxa" w:w="3240"/>
            <w:vAlign w:val="center"/>
            <w:tcMar>
              <w:top w:w="85" w:type="dxa"/>
              <w:bottom w:w="85" w:type="dxa"/>
              <w:left w:w="95" w:type="dxa"/>
              <w:right w:w="95" w:type="dxa"/>
            </w:tcMar>
            <w:shd w:fill="FFFFFF"/>
          </w:tcPr>
          <w:p>
            <w:pPr>
              <w:pStyle w:val="TableText"/>
              <w:keepNext w:val="0"/>
              <w:keepLines/>
            </w:pPr>
            <w:r>
              <w:rPr>
                <w:sz w:val="20"/>
              </w:rPr>
              <w:t>Player-built home</w:t>
            </w:r>
          </w:p>
        </w:tc>
        <w:tc>
          <w:tcPr>
            <w:tcW w:type="dxa" w:w="5774"/>
            <w:vAlign w:val="center"/>
            <w:tcMar>
              <w:top w:w="85" w:type="dxa"/>
              <w:bottom w:w="85" w:type="dxa"/>
              <w:left w:w="95" w:type="dxa"/>
              <w:right w:w="95" w:type="dxa"/>
            </w:tcMar>
            <w:shd w:fill="FFFFFF"/>
          </w:tcPr>
          <w:p>
            <w:pPr>
              <w:pStyle w:val="TableText"/>
              <w:keepNext w:val="0"/>
              <w:keepLines/>
            </w:pPr>
            <w:r>
              <w:rPr>
                <w:sz w:val="20"/>
              </w:rPr>
              <w:t>An independent surface home, an underground home, and a personal outpost interior using the shared material vocabulary.</w:t>
            </w:r>
          </w:p>
        </w:tc>
      </w:tr>
    </w:tbl>
    <w:p>
      <w:pPr>
        <w:spacing w:after="0" w:before="0" w:line="60" w:lineRule="exact"/>
      </w:pPr>
      <w:r>
        <w:rPr>
          <w:sz w:val="6"/>
        </w:rPr>
      </w:r>
    </w:p>
    <w:p>
      <w:pPr/>
      <w:r>
        <w:t>The seven Earth anchors and each planetary outpost are already covered by their environment entries. SET entries add construction and social views rather than duplicate the same exterior panorama. TEC01 through TEC14 receive an individually identifiable installation view and any critical operating state not visible in a settlement scene.</w:t>
      </w:r>
    </w:p>
    <w:p>
      <w:pPr/>
      <w:r>
        <w:t>NPC01 through NPC08 cover the innkeeper, traveler, mason, mill worker, workshop specialist, market organizer, field specialist, and surveyor. These are role sheets until the established cast is reconciled and character names are confirmed. Each sheet includes ordinary clothing, tools or possessions associated with the role, a conversational stance, a work pose, and scale against a familiar block. Roles can be combined into fewer characters if the approved narrative calls for it.</w:t>
      </w:r>
    </w:p>
    <w:p>
      <w:pPr>
        <w:pStyle w:val="Heading2"/>
      </w:pPr>
      <w:r>
        <w:t>Material equipment and living content coverage</w:t>
      </w:r>
    </w:p>
    <w:p>
      <w:pPr/>
      <w:r>
        <w:t>MAT01 through MAT19 each require source, sample, and use coverage as defined in the materials catalogue. The ten processed-product families require individually labeled output references. Familiar resources need a comparative integration plate when a new treatment is proposed, preserving their recognizable game identities.</w:t>
      </w:r>
    </w:p>
    <w:p>
      <w:pPr/>
      <w:r>
        <w:t>EQ01 through EQ32 each require an individually identifiable equipment plate. EQ05, EQ08, EQ09, EQ18, and EQ25 also need deployed action views because their working footprint matters. EQ07, EQ10, EQ20, EQ21, EQ23, and EQ29 require a worn or installed scale view. Device indicators should be redrawn or composed accurately after the concept shape is selected.</w:t>
      </w:r>
    </w:p>
    <w:p>
      <w:pPr/>
      <w:r>
        <w:t>Every PM resource in the destination catalogue receives the same source-to-use treatment. SUPPLY01 through SUPPLY03 also receive feedstock or service, container, connection, and in-use coverage so propulsion and life support remain physically legible. Spacecraft materials should stay visually related to the products from which their hulls and systems are built. A ship's panels must not invent an unexplained seventh universal metal family.</w:t>
      </w:r>
    </w:p>
    <w:p>
      <w:pPr/>
      <w:r>
        <w:t>BIO01 through BIO12 and FL01 through FL10 each receive a reference sheet and at least one habitat image. Habitat coverage may be included in an environment variant if the organism is clearly visible and captioned. ENC01 through ENC04 receive a readable encounter overview and one action moment showing the intended player response.</w:t>
      </w:r>
    </w:p>
    <w:p>
      <w:pPr>
        <w:pStyle w:val="Heading2"/>
      </w:pPr>
      <w:r>
        <w:t>Exact interface and information references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979"/>
        <w:gridCol w:w="3240"/>
        <w:gridCol w:w="5774"/>
      </w:tblGrid>
      <w:tr>
        <w:trPr>
          <w:cantSplit/>
          <w:tblHeader w:val="true"/>
        </w:trPr>
        <w:tc>
          <w:tcPr>
            <w:tcW w:type="dxa" w:w="979"/>
            <w:vAlign w:val="center"/>
            <w:tcMar>
              <w:top w:w="85" w:type="dxa"/>
              <w:bottom w:w="85" w:type="dxa"/>
              <w:left w:w="95" w:type="dxa"/>
              <w:right w:w="95" w:type="dxa"/>
            </w:tcMar>
            <w:shd w:fill="233544"/>
          </w:tcPr>
          <w:p>
            <w:pPr>
              <w:pStyle w:val="TableText"/>
              <w:keepNext w:val="0"/>
              <w:keepLines/>
              <w:jc w:val="center"/>
            </w:pPr>
            <w:r>
              <w:rPr>
                <w:b/>
                <w:color w:val="FFFFFF"/>
                <w:sz w:val="20"/>
              </w:rPr>
              <w:t>ID</w:t>
            </w:r>
          </w:p>
        </w:tc>
        <w:tc>
          <w:tcPr>
            <w:tcW w:type="dxa" w:w="3240"/>
            <w:vAlign w:val="center"/>
            <w:tcMar>
              <w:top w:w="85" w:type="dxa"/>
              <w:bottom w:w="85" w:type="dxa"/>
              <w:left w:w="95" w:type="dxa"/>
              <w:right w:w="95" w:type="dxa"/>
            </w:tcMar>
            <w:shd w:fill="233544"/>
          </w:tcPr>
          <w:p>
            <w:pPr>
              <w:pStyle w:val="TableText"/>
              <w:keepNext w:val="0"/>
              <w:keepLines/>
            </w:pPr>
            <w:r>
              <w:rPr>
                <w:b/>
                <w:color w:val="FFFFFF"/>
                <w:sz w:val="20"/>
              </w:rPr>
              <w:t>Reference</w:t>
            </w:r>
          </w:p>
        </w:tc>
        <w:tc>
          <w:tcPr>
            <w:tcW w:type="dxa" w:w="5774"/>
            <w:vAlign w:val="center"/>
            <w:tcMar>
              <w:top w:w="85" w:type="dxa"/>
              <w:bottom w:w="85" w:type="dxa"/>
              <w:left w:w="95" w:type="dxa"/>
              <w:right w:w="95" w:type="dxa"/>
            </w:tcMar>
            <w:shd w:fill="233544"/>
          </w:tcPr>
          <w:p>
            <w:pPr>
              <w:pStyle w:val="TableText"/>
              <w:keepNext w:val="0"/>
              <w:keepLines/>
            </w:pPr>
            <w:r>
              <w:rPr>
                <w:b/>
                <w:color w:val="FFFFFF"/>
                <w:sz w:val="20"/>
              </w:rPr>
              <w:t>What the view must communicate</w:t>
            </w:r>
          </w:p>
        </w:tc>
      </w:tr>
      <w:tr>
        <w:trPr>
          <w:cantSplit/>
        </w:trPr>
        <w:tc>
          <w:tcPr>
            <w:tcW w:type="dxa" w:w="979"/>
            <w:vAlign w:val="center"/>
            <w:tcMar>
              <w:top w:w="85" w:type="dxa"/>
              <w:bottom w:w="85" w:type="dxa"/>
              <w:left w:w="95" w:type="dxa"/>
              <w:right w:w="95" w:type="dxa"/>
            </w:tcMar>
            <w:shd w:fill="FFFFFF"/>
          </w:tcPr>
          <w:p>
            <w:pPr>
              <w:pStyle w:val="TableText"/>
              <w:keepNext w:val="0"/>
              <w:keepLines/>
              <w:jc w:val="center"/>
            </w:pPr>
            <w:r>
              <w:rPr>
                <w:sz w:val="20"/>
              </w:rPr>
              <w:t>UX01</w:t>
            </w:r>
          </w:p>
        </w:tc>
        <w:tc>
          <w:tcPr>
            <w:tcW w:type="dxa" w:w="3240"/>
            <w:vAlign w:val="center"/>
            <w:tcMar>
              <w:top w:w="85" w:type="dxa"/>
              <w:bottom w:w="85" w:type="dxa"/>
              <w:left w:w="95" w:type="dxa"/>
              <w:right w:w="95" w:type="dxa"/>
            </w:tcMar>
            <w:shd w:fill="FFFFFF"/>
          </w:tcPr>
          <w:p>
            <w:pPr>
              <w:pStyle w:val="TableText"/>
              <w:keepNext w:val="0"/>
              <w:keepLines/>
            </w:pPr>
            <w:r>
              <w:rPr>
                <w:sz w:val="20"/>
              </w:rPr>
              <w:t>Project controller</w:t>
            </w:r>
          </w:p>
        </w:tc>
        <w:tc>
          <w:tcPr>
            <w:tcW w:type="dxa" w:w="5774"/>
            <w:vAlign w:val="center"/>
            <w:tcMar>
              <w:top w:w="85" w:type="dxa"/>
              <w:bottom w:w="85" w:type="dxa"/>
              <w:left w:w="95" w:type="dxa"/>
              <w:right w:w="95" w:type="dxa"/>
            </w:tcMar>
            <w:shd w:fill="FFFFFF"/>
          </w:tcPr>
          <w:p>
            <w:pPr>
              <w:pStyle w:val="TableText"/>
              <w:keepNext w:val="0"/>
              <w:keepLines/>
            </w:pPr>
            <w:r>
              <w:rPr>
                <w:sz w:val="20"/>
              </w:rPr>
              <w:t>Purpose, current stage, next action, material requirements, and current status.</w:t>
            </w:r>
          </w:p>
        </w:tc>
      </w:tr>
      <w:tr>
        <w:trPr>
          <w:cantSplit/>
        </w:trPr>
        <w:tc>
          <w:tcPr>
            <w:tcW w:type="dxa" w:w="979"/>
            <w:vAlign w:val="center"/>
            <w:tcMar>
              <w:top w:w="85" w:type="dxa"/>
              <w:bottom w:w="85" w:type="dxa"/>
              <w:left w:w="95" w:type="dxa"/>
              <w:right w:w="95" w:type="dxa"/>
            </w:tcMar>
            <w:shd w:fill="F3F5F6"/>
          </w:tcPr>
          <w:p>
            <w:pPr>
              <w:pStyle w:val="TableText"/>
              <w:keepNext w:val="0"/>
              <w:keepLines/>
              <w:jc w:val="center"/>
            </w:pPr>
            <w:r>
              <w:rPr>
                <w:sz w:val="20"/>
              </w:rPr>
              <w:t>UX02</w:t>
            </w:r>
          </w:p>
        </w:tc>
        <w:tc>
          <w:tcPr>
            <w:tcW w:type="dxa" w:w="3240"/>
            <w:vAlign w:val="center"/>
            <w:tcMar>
              <w:top w:w="85" w:type="dxa"/>
              <w:bottom w:w="85" w:type="dxa"/>
              <w:left w:w="95" w:type="dxa"/>
              <w:right w:w="95" w:type="dxa"/>
            </w:tcMar>
            <w:shd w:fill="F3F5F6"/>
          </w:tcPr>
          <w:p>
            <w:pPr>
              <w:pStyle w:val="TableText"/>
              <w:keepNext w:val="0"/>
              <w:keepLines/>
            </w:pPr>
            <w:r>
              <w:rPr>
                <w:sz w:val="20"/>
              </w:rPr>
              <w:t>Project footprint preview</w:t>
            </w:r>
          </w:p>
        </w:tc>
        <w:tc>
          <w:tcPr>
            <w:tcW w:type="dxa" w:w="5774"/>
            <w:vAlign w:val="center"/>
            <w:tcMar>
              <w:top w:w="85" w:type="dxa"/>
              <w:bottom w:w="85" w:type="dxa"/>
              <w:left w:w="95" w:type="dxa"/>
              <w:right w:w="95" w:type="dxa"/>
            </w:tcMar>
            <w:shd w:fill="F3F5F6"/>
          </w:tcPr>
          <w:p>
            <w:pPr>
              <w:pStyle w:val="TableText"/>
              <w:keepNext w:val="0"/>
              <w:keepLines/>
            </w:pPr>
            <w:r>
              <w:rPr>
                <w:sz w:val="20"/>
              </w:rPr>
              <w:t>Placement, terrain changes, access, occupied space, and protected conflicts.</w:t>
            </w:r>
          </w:p>
        </w:tc>
      </w:tr>
      <w:tr>
        <w:trPr>
          <w:cantSplit/>
        </w:trPr>
        <w:tc>
          <w:tcPr>
            <w:tcW w:type="dxa" w:w="979"/>
            <w:vAlign w:val="center"/>
            <w:tcMar>
              <w:top w:w="85" w:type="dxa"/>
              <w:bottom w:w="85" w:type="dxa"/>
              <w:left w:w="95" w:type="dxa"/>
              <w:right w:w="95" w:type="dxa"/>
            </w:tcMar>
            <w:shd w:fill="FFFFFF"/>
          </w:tcPr>
          <w:p>
            <w:pPr>
              <w:pStyle w:val="TableText"/>
              <w:keepNext w:val="0"/>
              <w:keepLines/>
              <w:jc w:val="center"/>
            </w:pPr>
            <w:r>
              <w:rPr>
                <w:sz w:val="20"/>
              </w:rPr>
              <w:t>UX03</w:t>
            </w:r>
          </w:p>
        </w:tc>
        <w:tc>
          <w:tcPr>
            <w:tcW w:type="dxa" w:w="3240"/>
            <w:vAlign w:val="center"/>
            <w:tcMar>
              <w:top w:w="85" w:type="dxa"/>
              <w:bottom w:w="85" w:type="dxa"/>
              <w:left w:w="95" w:type="dxa"/>
              <w:right w:w="95" w:type="dxa"/>
            </w:tcMar>
            <w:shd w:fill="FFFFFF"/>
          </w:tcPr>
          <w:p>
            <w:pPr>
              <w:pStyle w:val="TableText"/>
              <w:keepNext w:val="0"/>
              <w:keepLines/>
            </w:pPr>
            <w:r>
              <w:rPr>
                <w:sz w:val="20"/>
              </w:rPr>
              <w:t>Construction stages</w:t>
            </w:r>
          </w:p>
        </w:tc>
        <w:tc>
          <w:tcPr>
            <w:tcW w:type="dxa" w:w="5774"/>
            <w:vAlign w:val="center"/>
            <w:tcMar>
              <w:top w:w="85" w:type="dxa"/>
              <w:bottom w:w="85" w:type="dxa"/>
              <w:left w:w="95" w:type="dxa"/>
              <w:right w:w="95" w:type="dxa"/>
            </w:tcMar>
            <w:shd w:fill="FFFFFF"/>
          </w:tcPr>
          <w:p>
            <w:pPr>
              <w:pStyle w:val="TableText"/>
              <w:keepNext w:val="0"/>
              <w:keepLines/>
            </w:pPr>
            <w:r>
              <w:rPr>
                <w:sz w:val="20"/>
              </w:rPr>
              <w:t>Supplied materials, committed materials, safe interruption, and finished result.</w:t>
            </w:r>
          </w:p>
        </w:tc>
      </w:tr>
      <w:tr>
        <w:trPr>
          <w:cantSplit/>
        </w:trPr>
        <w:tc>
          <w:tcPr>
            <w:tcW w:type="dxa" w:w="979"/>
            <w:vAlign w:val="center"/>
            <w:tcMar>
              <w:top w:w="85" w:type="dxa"/>
              <w:bottom w:w="85" w:type="dxa"/>
              <w:left w:w="95" w:type="dxa"/>
              <w:right w:w="95" w:type="dxa"/>
            </w:tcMar>
            <w:shd w:fill="F3F5F6"/>
          </w:tcPr>
          <w:p>
            <w:pPr>
              <w:pStyle w:val="TableText"/>
              <w:keepNext w:val="0"/>
              <w:keepLines/>
              <w:jc w:val="center"/>
            </w:pPr>
            <w:r>
              <w:rPr>
                <w:sz w:val="20"/>
              </w:rPr>
              <w:t>UX04</w:t>
            </w:r>
          </w:p>
        </w:tc>
        <w:tc>
          <w:tcPr>
            <w:tcW w:type="dxa" w:w="3240"/>
            <w:vAlign w:val="center"/>
            <w:tcMar>
              <w:top w:w="85" w:type="dxa"/>
              <w:bottom w:w="85" w:type="dxa"/>
              <w:left w:w="95" w:type="dxa"/>
              <w:right w:w="95" w:type="dxa"/>
            </w:tcMar>
            <w:shd w:fill="F3F5F6"/>
          </w:tcPr>
          <w:p>
            <w:pPr>
              <w:pStyle w:val="TableText"/>
              <w:keepNext w:val="0"/>
              <w:keepLines/>
            </w:pPr>
            <w:r>
              <w:rPr>
                <w:sz w:val="20"/>
              </w:rPr>
              <w:t>Regional activity boundary</w:t>
            </w:r>
          </w:p>
        </w:tc>
        <w:tc>
          <w:tcPr>
            <w:tcW w:type="dxa" w:w="5774"/>
            <w:vAlign w:val="center"/>
            <w:tcMar>
              <w:top w:w="85" w:type="dxa"/>
              <w:bottom w:w="85" w:type="dxa"/>
              <w:left w:w="95" w:type="dxa"/>
              <w:right w:w="95" w:type="dxa"/>
            </w:tcMar>
            <w:shd w:fill="F3F5F6"/>
          </w:tcPr>
          <w:p>
            <w:pPr>
              <w:pStyle w:val="TableText"/>
              <w:keepNext w:val="0"/>
              <w:keepLines/>
            </w:pPr>
            <w:r>
              <w:rPr>
                <w:sz w:val="20"/>
              </w:rPr>
              <w:t>Horizontal area, vertical scope, participating players, pause and resume.</w:t>
            </w:r>
          </w:p>
        </w:tc>
      </w:tr>
      <w:tr>
        <w:trPr>
          <w:cantSplit/>
        </w:trPr>
        <w:tc>
          <w:tcPr>
            <w:tcW w:type="dxa" w:w="979"/>
            <w:vAlign w:val="center"/>
            <w:tcMar>
              <w:top w:w="85" w:type="dxa"/>
              <w:bottom w:w="85" w:type="dxa"/>
              <w:left w:w="95" w:type="dxa"/>
              <w:right w:w="95" w:type="dxa"/>
            </w:tcMar>
            <w:shd w:fill="FFFFFF"/>
          </w:tcPr>
          <w:p>
            <w:pPr>
              <w:pStyle w:val="TableText"/>
              <w:keepNext w:val="0"/>
              <w:keepLines/>
              <w:jc w:val="center"/>
            </w:pPr>
            <w:r>
              <w:rPr>
                <w:sz w:val="20"/>
              </w:rPr>
              <w:t>UX05</w:t>
            </w:r>
          </w:p>
        </w:tc>
        <w:tc>
          <w:tcPr>
            <w:tcW w:type="dxa" w:w="3240"/>
            <w:vAlign w:val="center"/>
            <w:tcMar>
              <w:top w:w="85" w:type="dxa"/>
              <w:bottom w:w="85" w:type="dxa"/>
              <w:left w:w="95" w:type="dxa"/>
              <w:right w:w="95" w:type="dxa"/>
            </w:tcMar>
            <w:shd w:fill="FFFFFF"/>
          </w:tcPr>
          <w:p>
            <w:pPr>
              <w:pStyle w:val="TableText"/>
              <w:keepNext w:val="0"/>
              <w:keepLines/>
            </w:pPr>
            <w:r>
              <w:rPr>
                <w:sz w:val="20"/>
              </w:rPr>
              <w:t>Ownership and contribution</w:t>
            </w:r>
          </w:p>
        </w:tc>
        <w:tc>
          <w:tcPr>
            <w:tcW w:type="dxa" w:w="5774"/>
            <w:vAlign w:val="center"/>
            <w:tcMar>
              <w:top w:w="85" w:type="dxa"/>
              <w:bottom w:w="85" w:type="dxa"/>
              <w:left w:w="95" w:type="dxa"/>
              <w:right w:w="95" w:type="dxa"/>
            </w:tcMar>
            <w:shd w:fill="FFFFFF"/>
          </w:tcPr>
          <w:p>
            <w:pPr>
              <w:pStyle w:val="TableText"/>
              <w:keepNext w:val="0"/>
              <w:keepLines/>
            </w:pPr>
            <w:r>
              <w:rPr>
                <w:sz w:val="20"/>
              </w:rPr>
              <w:t>Who can act, who supplied resources, and the shared project state.</w:t>
            </w:r>
          </w:p>
        </w:tc>
      </w:tr>
      <w:tr>
        <w:trPr>
          <w:cantSplit/>
        </w:trPr>
        <w:tc>
          <w:tcPr>
            <w:tcW w:type="dxa" w:w="979"/>
            <w:vAlign w:val="center"/>
            <w:tcMar>
              <w:top w:w="85" w:type="dxa"/>
              <w:bottom w:w="85" w:type="dxa"/>
              <w:left w:w="95" w:type="dxa"/>
              <w:right w:w="95" w:type="dxa"/>
            </w:tcMar>
            <w:shd w:fill="F3F5F6"/>
          </w:tcPr>
          <w:p>
            <w:pPr>
              <w:pStyle w:val="TableText"/>
              <w:keepNext w:val="0"/>
              <w:keepLines/>
              <w:jc w:val="center"/>
            </w:pPr>
            <w:r>
              <w:rPr>
                <w:sz w:val="20"/>
              </w:rPr>
              <w:t>UX06</w:t>
            </w:r>
          </w:p>
        </w:tc>
        <w:tc>
          <w:tcPr>
            <w:tcW w:type="dxa" w:w="3240"/>
            <w:vAlign w:val="center"/>
            <w:tcMar>
              <w:top w:w="85" w:type="dxa"/>
              <w:bottom w:w="85" w:type="dxa"/>
              <w:left w:w="95" w:type="dxa"/>
              <w:right w:w="95" w:type="dxa"/>
            </w:tcMar>
            <w:shd w:fill="F3F5F6"/>
          </w:tcPr>
          <w:p>
            <w:pPr>
              <w:pStyle w:val="TableText"/>
              <w:keepNext w:val="0"/>
              <w:keepLines/>
            </w:pPr>
            <w:r>
              <w:rPr>
                <w:sz w:val="20"/>
              </w:rPr>
              <w:t>Return-to-play journal</w:t>
            </w:r>
          </w:p>
        </w:tc>
        <w:tc>
          <w:tcPr>
            <w:tcW w:type="dxa" w:w="5774"/>
            <w:vAlign w:val="center"/>
            <w:tcMar>
              <w:top w:w="85" w:type="dxa"/>
              <w:bottom w:w="85" w:type="dxa"/>
              <w:left w:w="95" w:type="dxa"/>
              <w:right w:w="95" w:type="dxa"/>
            </w:tcMar>
            <w:shd w:fill="F3F5F6"/>
          </w:tcPr>
          <w:p>
            <w:pPr>
              <w:pStyle w:val="TableText"/>
              <w:keepNext w:val="0"/>
              <w:keepLines/>
            </w:pPr>
            <w:r>
              <w:rPr>
                <w:sz w:val="20"/>
              </w:rPr>
              <w:t>Last meaningful event, current objective, optional opportunities, and useful destination links.</w:t>
            </w:r>
          </w:p>
        </w:tc>
      </w:tr>
      <w:tr>
        <w:trPr>
          <w:cantSplit/>
        </w:trPr>
        <w:tc>
          <w:tcPr>
            <w:tcW w:type="dxa" w:w="979"/>
            <w:vAlign w:val="center"/>
            <w:tcMar>
              <w:top w:w="85" w:type="dxa"/>
              <w:bottom w:w="85" w:type="dxa"/>
              <w:left w:w="95" w:type="dxa"/>
              <w:right w:w="95" w:type="dxa"/>
            </w:tcMar>
            <w:shd w:fill="FFFFFF"/>
          </w:tcPr>
          <w:p>
            <w:pPr>
              <w:pStyle w:val="TableText"/>
              <w:keepNext w:val="0"/>
              <w:keepLines/>
              <w:jc w:val="center"/>
            </w:pPr>
            <w:r>
              <w:rPr>
                <w:sz w:val="20"/>
              </w:rPr>
              <w:t>UX07</w:t>
            </w:r>
          </w:p>
        </w:tc>
        <w:tc>
          <w:tcPr>
            <w:tcW w:type="dxa" w:w="3240"/>
            <w:vAlign w:val="center"/>
            <w:tcMar>
              <w:top w:w="85" w:type="dxa"/>
              <w:bottom w:w="85" w:type="dxa"/>
              <w:left w:w="95" w:type="dxa"/>
              <w:right w:w="95" w:type="dxa"/>
            </w:tcMar>
            <w:shd w:fill="FFFFFF"/>
          </w:tcPr>
          <w:p>
            <w:pPr>
              <w:pStyle w:val="TableText"/>
              <w:keepNext w:val="0"/>
              <w:keepLines/>
            </w:pPr>
            <w:r>
              <w:rPr>
                <w:sz w:val="20"/>
              </w:rPr>
              <w:t>Underground navigation</w:t>
            </w:r>
          </w:p>
        </w:tc>
        <w:tc>
          <w:tcPr>
            <w:tcW w:type="dxa" w:w="5774"/>
            <w:vAlign w:val="center"/>
            <w:tcMar>
              <w:top w:w="85" w:type="dxa"/>
              <w:bottom w:w="85" w:type="dxa"/>
              <w:left w:w="95" w:type="dxa"/>
              <w:right w:w="95" w:type="dxa"/>
            </w:tcMar>
            <w:shd w:fill="FFFFFF"/>
          </w:tcPr>
          <w:p>
            <w:pPr>
              <w:pStyle w:val="TableText"/>
              <w:keepNext w:val="0"/>
              <w:keepLines/>
            </w:pPr>
            <w:r>
              <w:rPr>
                <w:sz w:val="20"/>
              </w:rPr>
              <w:t>Layer or local elevation, route, known refuge, personal markers, and unexplored branches.</w:t>
            </w:r>
          </w:p>
        </w:tc>
      </w:tr>
      <w:tr>
        <w:trPr>
          <w:cantSplit/>
        </w:trPr>
        <w:tc>
          <w:tcPr>
            <w:tcW w:type="dxa" w:w="979"/>
            <w:vAlign w:val="center"/>
            <w:tcMar>
              <w:top w:w="85" w:type="dxa"/>
              <w:bottom w:w="85" w:type="dxa"/>
              <w:left w:w="95" w:type="dxa"/>
              <w:right w:w="95" w:type="dxa"/>
            </w:tcMar>
            <w:shd w:fill="F3F5F6"/>
          </w:tcPr>
          <w:p>
            <w:pPr>
              <w:pStyle w:val="TableText"/>
              <w:keepNext w:val="0"/>
              <w:keepLines/>
              <w:jc w:val="center"/>
            </w:pPr>
            <w:r>
              <w:rPr>
                <w:sz w:val="20"/>
              </w:rPr>
              <w:t>UX08</w:t>
            </w:r>
          </w:p>
        </w:tc>
        <w:tc>
          <w:tcPr>
            <w:tcW w:type="dxa" w:w="3240"/>
            <w:vAlign w:val="center"/>
            <w:tcMar>
              <w:top w:w="85" w:type="dxa"/>
              <w:bottom w:w="85" w:type="dxa"/>
              <w:left w:w="95" w:type="dxa"/>
              <w:right w:w="95" w:type="dxa"/>
            </w:tcMar>
            <w:shd w:fill="F3F5F6"/>
          </w:tcPr>
          <w:p>
            <w:pPr>
              <w:pStyle w:val="TableText"/>
              <w:keepNext w:val="0"/>
              <w:keepLines/>
            </w:pPr>
            <w:r>
              <w:rPr>
                <w:sz w:val="20"/>
              </w:rPr>
              <w:t>Expedition preparation</w:t>
            </w:r>
          </w:p>
        </w:tc>
        <w:tc>
          <w:tcPr>
            <w:tcW w:type="dxa" w:w="5774"/>
            <w:vAlign w:val="center"/>
            <w:tcMar>
              <w:top w:w="85" w:type="dxa"/>
              <w:bottom w:w="85" w:type="dxa"/>
              <w:left w:w="95" w:type="dxa"/>
              <w:right w:w="95" w:type="dxa"/>
            </w:tcMar>
            <w:shd w:fill="F3F5F6"/>
          </w:tcPr>
          <w:p>
            <w:pPr>
              <w:pStyle w:val="TableText"/>
              <w:keepNext w:val="0"/>
              <w:keepLines/>
            </w:pPr>
            <w:r>
              <w:rPr>
                <w:sz w:val="20"/>
              </w:rPr>
              <w:t>Destination, known hazards, carried equipment, reserves, and chosen cargo.</w:t>
            </w:r>
          </w:p>
        </w:tc>
      </w:tr>
      <w:tr>
        <w:trPr>
          <w:cantSplit/>
        </w:trPr>
        <w:tc>
          <w:tcPr>
            <w:tcW w:type="dxa" w:w="979"/>
            <w:vAlign w:val="center"/>
            <w:tcMar>
              <w:top w:w="85" w:type="dxa"/>
              <w:bottom w:w="85" w:type="dxa"/>
              <w:left w:w="95" w:type="dxa"/>
              <w:right w:w="95" w:type="dxa"/>
            </w:tcMar>
            <w:shd w:fill="FFFFFF"/>
          </w:tcPr>
          <w:p>
            <w:pPr>
              <w:pStyle w:val="TableText"/>
              <w:keepNext w:val="0"/>
              <w:keepLines/>
              <w:jc w:val="center"/>
            </w:pPr>
            <w:r>
              <w:rPr>
                <w:sz w:val="20"/>
              </w:rPr>
              <w:t>UX09</w:t>
            </w:r>
          </w:p>
        </w:tc>
        <w:tc>
          <w:tcPr>
            <w:tcW w:type="dxa" w:w="3240"/>
            <w:vAlign w:val="center"/>
            <w:tcMar>
              <w:top w:w="85" w:type="dxa"/>
              <w:bottom w:w="85" w:type="dxa"/>
              <w:left w:w="95" w:type="dxa"/>
              <w:right w:w="95" w:type="dxa"/>
            </w:tcMar>
            <w:shd w:fill="FFFFFF"/>
          </w:tcPr>
          <w:p>
            <w:pPr>
              <w:pStyle w:val="TableText"/>
              <w:keepNext w:val="0"/>
              <w:keepLines/>
            </w:pPr>
            <w:r>
              <w:rPr>
                <w:sz w:val="20"/>
              </w:rPr>
              <w:t>Spacecraft assembly</w:t>
            </w:r>
          </w:p>
        </w:tc>
        <w:tc>
          <w:tcPr>
            <w:tcW w:type="dxa" w:w="5774"/>
            <w:vAlign w:val="center"/>
            <w:tcMar>
              <w:top w:w="85" w:type="dxa"/>
              <w:bottom w:w="85" w:type="dxa"/>
              <w:left w:w="95" w:type="dxa"/>
              <w:right w:w="95" w:type="dxa"/>
            </w:tcMar>
            <w:shd w:fill="FFFFFF"/>
          </w:tcPr>
          <w:p>
            <w:pPr>
              <w:pStyle w:val="TableText"/>
              <w:keepNext w:val="0"/>
              <w:keepLines/>
            </w:pPr>
            <w:r>
              <w:rPr>
                <w:sz w:val="20"/>
              </w:rPr>
              <w:t>Recognized hull, modules, build stages, cargo space, and missing capabilities.</w:t>
            </w:r>
          </w:p>
        </w:tc>
      </w:tr>
      <w:tr>
        <w:trPr>
          <w:cantSplit/>
        </w:trPr>
        <w:tc>
          <w:tcPr>
            <w:tcW w:type="dxa" w:w="979"/>
            <w:vAlign w:val="center"/>
            <w:tcMar>
              <w:top w:w="85" w:type="dxa"/>
              <w:bottom w:w="85" w:type="dxa"/>
              <w:left w:w="95" w:type="dxa"/>
              <w:right w:w="95" w:type="dxa"/>
            </w:tcMar>
            <w:shd w:fill="F3F5F6"/>
          </w:tcPr>
          <w:p>
            <w:pPr>
              <w:pStyle w:val="TableText"/>
              <w:keepNext w:val="0"/>
              <w:keepLines/>
              <w:jc w:val="center"/>
            </w:pPr>
            <w:r>
              <w:rPr>
                <w:sz w:val="20"/>
              </w:rPr>
              <w:t>UX10</w:t>
            </w:r>
          </w:p>
        </w:tc>
        <w:tc>
          <w:tcPr>
            <w:tcW w:type="dxa" w:w="3240"/>
            <w:vAlign w:val="center"/>
            <w:tcMar>
              <w:top w:w="85" w:type="dxa"/>
              <w:bottom w:w="85" w:type="dxa"/>
              <w:left w:w="95" w:type="dxa"/>
              <w:right w:w="95" w:type="dxa"/>
            </w:tcMar>
            <w:shd w:fill="F3F5F6"/>
          </w:tcPr>
          <w:p>
            <w:pPr>
              <w:pStyle w:val="TableText"/>
              <w:keepNext w:val="0"/>
              <w:keepLines/>
            </w:pPr>
            <w:r>
              <w:rPr>
                <w:sz w:val="20"/>
              </w:rPr>
              <w:t>Mission readiness</w:t>
            </w:r>
          </w:p>
        </w:tc>
        <w:tc>
          <w:tcPr>
            <w:tcW w:type="dxa" w:w="5774"/>
            <w:vAlign w:val="center"/>
            <w:tcMar>
              <w:top w:w="85" w:type="dxa"/>
              <w:bottom w:w="85" w:type="dxa"/>
              <w:left w:w="95" w:type="dxa"/>
              <w:right w:w="95" w:type="dxa"/>
            </w:tcMar>
            <w:shd w:fill="F3F5F6"/>
          </w:tcPr>
          <w:p>
            <w:pPr>
              <w:pStyle w:val="TableText"/>
              <w:keepNext w:val="0"/>
              <w:keepLines/>
            </w:pPr>
            <w:r>
              <w:rPr>
                <w:sz w:val="20"/>
              </w:rPr>
              <w:t>Destination suitability, crew, fuel and breathing reserves, cargo, and return plan.</w:t>
            </w:r>
          </w:p>
        </w:tc>
      </w:tr>
      <w:tr>
        <w:trPr>
          <w:cantSplit/>
        </w:trPr>
        <w:tc>
          <w:tcPr>
            <w:tcW w:type="dxa" w:w="979"/>
            <w:vAlign w:val="center"/>
            <w:tcMar>
              <w:top w:w="85" w:type="dxa"/>
              <w:bottom w:w="85" w:type="dxa"/>
              <w:left w:w="95" w:type="dxa"/>
              <w:right w:w="95" w:type="dxa"/>
            </w:tcMar>
            <w:shd w:fill="FFFFFF"/>
          </w:tcPr>
          <w:p>
            <w:pPr>
              <w:pStyle w:val="TableText"/>
              <w:keepNext w:val="0"/>
              <w:keepLines/>
              <w:jc w:val="center"/>
            </w:pPr>
            <w:r>
              <w:rPr>
                <w:sz w:val="20"/>
              </w:rPr>
              <w:t>UX11</w:t>
            </w:r>
          </w:p>
        </w:tc>
        <w:tc>
          <w:tcPr>
            <w:tcW w:type="dxa" w:w="3240"/>
            <w:vAlign w:val="center"/>
            <w:tcMar>
              <w:top w:w="85" w:type="dxa"/>
              <w:bottom w:w="85" w:type="dxa"/>
              <w:left w:w="95" w:type="dxa"/>
              <w:right w:w="95" w:type="dxa"/>
            </w:tcMar>
            <w:shd w:fill="FFFFFF"/>
          </w:tcPr>
          <w:p>
            <w:pPr>
              <w:pStyle w:val="TableText"/>
              <w:keepNext w:val="0"/>
              <w:keepLines/>
            </w:pPr>
            <w:r>
              <w:rPr>
                <w:sz w:val="20"/>
              </w:rPr>
              <w:t>Destination and route map</w:t>
            </w:r>
          </w:p>
        </w:tc>
        <w:tc>
          <w:tcPr>
            <w:tcW w:type="dxa" w:w="5774"/>
            <w:vAlign w:val="center"/>
            <w:tcMar>
              <w:top w:w="85" w:type="dxa"/>
              <w:bottom w:w="85" w:type="dxa"/>
              <w:left w:w="95" w:type="dxa"/>
              <w:right w:w="95" w:type="dxa"/>
            </w:tcMar>
            <w:shd w:fill="FFFFFF"/>
          </w:tcPr>
          <w:p>
            <w:pPr>
              <w:pStyle w:val="TableText"/>
              <w:keepNext w:val="0"/>
              <w:keepLines/>
            </w:pPr>
            <w:r>
              <w:rPr>
                <w:sz w:val="20"/>
              </w:rPr>
              <w:t>Surveyed travel links, landing sites, outposts, unavailable services, and selected itinerary.</w:t>
            </w:r>
          </w:p>
        </w:tc>
      </w:tr>
      <w:tr>
        <w:trPr>
          <w:cantSplit/>
        </w:trPr>
        <w:tc>
          <w:tcPr>
            <w:tcW w:type="dxa" w:w="979"/>
            <w:vAlign w:val="center"/>
            <w:tcMar>
              <w:top w:w="85" w:type="dxa"/>
              <w:bottom w:w="85" w:type="dxa"/>
              <w:left w:w="95" w:type="dxa"/>
              <w:right w:w="95" w:type="dxa"/>
            </w:tcMar>
            <w:shd w:fill="F3F5F6"/>
          </w:tcPr>
          <w:p>
            <w:pPr>
              <w:pStyle w:val="TableText"/>
              <w:keepNext w:val="0"/>
              <w:keepLines/>
              <w:jc w:val="center"/>
            </w:pPr>
            <w:r>
              <w:rPr>
                <w:sz w:val="20"/>
              </w:rPr>
              <w:t>UX12</w:t>
            </w:r>
          </w:p>
        </w:tc>
        <w:tc>
          <w:tcPr>
            <w:tcW w:type="dxa" w:w="3240"/>
            <w:vAlign w:val="center"/>
            <w:tcMar>
              <w:top w:w="85" w:type="dxa"/>
              <w:bottom w:w="85" w:type="dxa"/>
              <w:left w:w="95" w:type="dxa"/>
              <w:right w:w="95" w:type="dxa"/>
            </w:tcMar>
            <w:shd w:fill="F3F5F6"/>
          </w:tcPr>
          <w:p>
            <w:pPr>
              <w:pStyle w:val="TableText"/>
              <w:keepNext w:val="0"/>
              <w:keepLines/>
            </w:pPr>
            <w:r>
              <w:rPr>
                <w:sz w:val="20"/>
              </w:rPr>
              <w:t>Accessibility settings</w:t>
            </w:r>
          </w:p>
        </w:tc>
        <w:tc>
          <w:tcPr>
            <w:tcW w:type="dxa" w:w="5774"/>
            <w:vAlign w:val="center"/>
            <w:tcMar>
              <w:top w:w="85" w:type="dxa"/>
              <w:bottom w:w="85" w:type="dxa"/>
              <w:left w:w="95" w:type="dxa"/>
              <w:right w:w="95" w:type="dxa"/>
            </w:tcMar>
            <w:shd w:fill="F3F5F6"/>
          </w:tcPr>
          <w:p>
            <w:pPr>
              <w:pStyle w:val="TableText"/>
              <w:keepNext w:val="0"/>
              <w:keepLines/>
            </w:pPr>
            <w:r>
              <w:rPr>
                <w:sz w:val="20"/>
              </w:rPr>
              <w:t>Readable text, contrast, motion controls, hazard cues, captions, and assistance preferences.</w:t>
            </w:r>
          </w:p>
        </w:tc>
      </w:tr>
    </w:tbl>
    <w:p>
      <w:pPr>
        <w:spacing w:after="0" w:before="0" w:line="60" w:lineRule="exact"/>
      </w:pPr>
      <w:r>
        <w:rPr>
          <w:sz w:val="6"/>
        </w:rPr>
      </w:r>
    </w:p>
    <w:p>
      <w:pPr/>
      <w:r>
        <w:t>These twelve references should be built as precise layouts. Decorative concept frames may accompany them later, but the working information must remain clear and editable. Charts, cross-sections, and diagrams should use the same labels as the text and should never add an unapproved dependency.</w:t>
      </w:r>
    </w:p>
    <w:p>
      <w:pPr>
        <w:pStyle w:val="Heading2"/>
      </w:pPr>
      <w:r>
        <w:t>How to produce and integrate the images</w:t>
      </w:r>
    </w:p>
    <w:p>
      <w:pPr/>
      <w:r>
        <w:t>After text confirmation, begin with a small set of anchor images that spans the visual range: the quarry coast, a Deepwilds expedition, an Abyss refuge, the first lunar arrival, and the interior of a practical early spacecraft. Use their shared decisions about block scale, texture detail, player proportions, materials, and lighting to guide the rest of the register. The approved text remains the authority throughout production.</w:t>
      </w:r>
    </w:p>
    <w:p>
      <w:pPr/>
      <w:r>
        <w:t>Produce environment views in related batches so adjacent regions share transition features. Produce all views of one hull from a stable reference before moving to another hull. Keep ore samples, tools, clothing, and machinery consistent across action scenes and reference sheets. A recognizable object should not change shape merely because it appears in a different image.</w:t>
      </w:r>
    </w:p>
    <w:p>
      <w:pPr/>
      <w:r>
        <w:t>Each image record should include its identifier, associated content, view type, description used to create it, current design status, and any intentional deviation that requires text revision. The illustrated document uses captions that identify concept imagery and explain the specific design point. Captions should distinguish planned content from current gameplay.</w:t>
      </w:r>
    </w:p>
    <w:p>
      <w:pPr/>
      <w:r>
        <w:t>Review the completed coverage against the register. Check whether every named environment and object is visible, whether variation is meaningful, whether routes and scale make sense, and whether the depicted activity matches the text. Images with appealing lighting but incorrect geography, invented mechanics, missing safety routes, or inconsistent object design need revision.</w:t>
      </w:r>
    </w:p>
    <w:p>
      <w:bookmarkStart w:id="35" w:name="chapter_35"/>
      <w:pPr>
        <w:pStyle w:val="Heading1"/>
      </w:pPr>
      <w:r>
        <w:t>Turning the creative direction into a future roadmap</w:t>
      </w:r>
      <w:bookmarkEnd w:id="35"/>
    </w:p>
    <w:p>
      <w:pPr>
        <w:pStyle w:val="Heading2"/>
      </w:pPr>
      <w:r>
        <w:t>The role of this document in later planning</w:t>
      </w:r>
    </w:p>
    <w:p>
      <w:pPr/>
      <w:r>
        <w:t>The future roadmap should select complete player experiences from this reference and identify the smallest set of generation, content, systems, assets, and validation needed to make each experience real. It should use the repository's actual state as its starting point. The existence of a chapter in this document does not establish that its technical prerequisites are implemented.</w:t>
      </w:r>
    </w:p>
    <w:p>
      <w:pPr/>
      <w:r>
        <w:t>The handbook's immediate sequence remains the baseline: prove the vertical world, distinguish cave forms, establish minimal regional generation, demonstrate a stable descent and return, and then introduce the first useful progression. The full creative reference can inform those experiments without making finished planets, NPCs, spacecraft, or concept art prerequisites for early generation work.</w:t>
      </w:r>
    </w:p>
    <w:p>
      <w:pPr>
        <w:pStyle w:val="Heading2"/>
      </w:pPr>
      <w:r>
        <w:t>Workstreams that can be extracted</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98"/>
        <w:gridCol w:w="3298"/>
        <w:gridCol w:w="4197"/>
      </w:tblGrid>
      <w:tr>
        <w:trPr>
          <w:cantSplit/>
          <w:tblHeader w:val="true"/>
        </w:trPr>
        <w:tc>
          <w:tcPr>
            <w:tcW w:type="dxa" w:w="2498"/>
            <w:vAlign w:val="center"/>
            <w:tcMar>
              <w:top w:w="85" w:type="dxa"/>
              <w:bottom w:w="85" w:type="dxa"/>
              <w:left w:w="95" w:type="dxa"/>
              <w:right w:w="95" w:type="dxa"/>
            </w:tcMar>
            <w:shd w:fill="233544"/>
          </w:tcPr>
          <w:p>
            <w:pPr>
              <w:pStyle w:val="TableText"/>
              <w:keepNext w:val="0"/>
              <w:keepLines/>
              <w:jc w:val="center"/>
            </w:pPr>
            <w:r>
              <w:rPr>
                <w:b/>
                <w:color w:val="FFFFFF"/>
                <w:sz w:val="20"/>
              </w:rPr>
              <w:t>Workstream</w:t>
            </w:r>
          </w:p>
        </w:tc>
        <w:tc>
          <w:tcPr>
            <w:tcW w:type="dxa" w:w="3298"/>
            <w:vAlign w:val="center"/>
            <w:tcMar>
              <w:top w:w="85" w:type="dxa"/>
              <w:bottom w:w="85" w:type="dxa"/>
              <w:left w:w="95" w:type="dxa"/>
              <w:right w:w="95" w:type="dxa"/>
            </w:tcMar>
            <w:shd w:fill="233544"/>
          </w:tcPr>
          <w:p>
            <w:pPr>
              <w:pStyle w:val="TableText"/>
              <w:keepNext w:val="0"/>
              <w:keepLines/>
            </w:pPr>
            <w:r>
              <w:rPr>
                <w:b/>
                <w:color w:val="FFFFFF"/>
                <w:sz w:val="20"/>
              </w:rPr>
              <w:t>Creative material to draw from</w:t>
            </w:r>
          </w:p>
        </w:tc>
        <w:tc>
          <w:tcPr>
            <w:tcW w:type="dxa" w:w="4197"/>
            <w:vAlign w:val="center"/>
            <w:tcMar>
              <w:top w:w="85" w:type="dxa"/>
              <w:bottom w:w="85" w:type="dxa"/>
              <w:left w:w="95" w:type="dxa"/>
              <w:right w:w="95" w:type="dxa"/>
            </w:tcMar>
            <w:shd w:fill="233544"/>
          </w:tcPr>
          <w:p>
            <w:pPr>
              <w:pStyle w:val="TableText"/>
              <w:keepNext w:val="0"/>
              <w:keepLines/>
            </w:pPr>
            <w:r>
              <w:rPr>
                <w:b/>
                <w:color w:val="FFFFFF"/>
                <w:sz w:val="20"/>
              </w:rPr>
              <w:t>Example of a complete player experience</w:t>
            </w:r>
          </w:p>
        </w:tc>
      </w:tr>
      <w:tr>
        <w:trPr>
          <w:cantSplit/>
        </w:trPr>
        <w:tc>
          <w:tcPr>
            <w:tcW w:type="dxa" w:w="2498"/>
            <w:vAlign w:val="center"/>
            <w:tcMar>
              <w:top w:w="85" w:type="dxa"/>
              <w:bottom w:w="85" w:type="dxa"/>
              <w:left w:w="95" w:type="dxa"/>
              <w:right w:w="95" w:type="dxa"/>
            </w:tcMar>
            <w:shd w:fill="FFFFFF"/>
          </w:tcPr>
          <w:p>
            <w:pPr>
              <w:pStyle w:val="TableText"/>
              <w:keepNext w:val="0"/>
              <w:keepLines/>
            </w:pPr>
            <w:r>
              <w:rPr>
                <w:sz w:val="20"/>
              </w:rPr>
              <w:t>World shape and connectivity</w:t>
            </w:r>
          </w:p>
        </w:tc>
        <w:tc>
          <w:tcPr>
            <w:tcW w:type="dxa" w:w="3298"/>
            <w:vAlign w:val="center"/>
            <w:tcMar>
              <w:top w:w="85" w:type="dxa"/>
              <w:bottom w:w="85" w:type="dxa"/>
              <w:left w:w="95" w:type="dxa"/>
              <w:right w:w="95" w:type="dxa"/>
            </w:tcMar>
            <w:shd w:fill="FFFFFF"/>
          </w:tcPr>
          <w:p>
            <w:pPr>
              <w:pStyle w:val="TableText"/>
              <w:keepNext w:val="0"/>
              <w:keepLines/>
            </w:pPr>
            <w:r>
              <w:rPr>
                <w:sz w:val="20"/>
              </w:rPr>
              <w:t>Vertical specification, world-generation contract, realm silhouettes</w:t>
            </w:r>
          </w:p>
        </w:tc>
        <w:tc>
          <w:tcPr>
            <w:tcW w:type="dxa" w:w="4197"/>
            <w:vAlign w:val="center"/>
            <w:tcMar>
              <w:top w:w="85" w:type="dxa"/>
              <w:bottom w:w="85" w:type="dxa"/>
              <w:left w:w="95" w:type="dxa"/>
              <w:right w:w="95" w:type="dxa"/>
            </w:tcMar>
            <w:shd w:fill="FFFFFF"/>
          </w:tcPr>
          <w:p>
            <w:pPr>
              <w:pStyle w:val="TableText"/>
              <w:keepNext w:val="0"/>
              <w:keepLines/>
            </w:pPr>
            <w:r>
              <w:rPr>
                <w:sz w:val="20"/>
              </w:rPr>
              <w:t>Enter a cave, recognize a change in region, find a viable route, and return.</w:t>
            </w:r>
          </w:p>
        </w:tc>
      </w:tr>
      <w:tr>
        <w:trPr>
          <w:cantSplit/>
        </w:trPr>
        <w:tc>
          <w:tcPr>
            <w:tcW w:type="dxa" w:w="2498"/>
            <w:vAlign w:val="center"/>
            <w:tcMar>
              <w:top w:w="85" w:type="dxa"/>
              <w:bottom w:w="85" w:type="dxa"/>
              <w:left w:w="95" w:type="dxa"/>
              <w:right w:w="95" w:type="dxa"/>
            </w:tcMar>
            <w:shd w:fill="F3F5F6"/>
          </w:tcPr>
          <w:p>
            <w:pPr>
              <w:pStyle w:val="TableText"/>
              <w:keepNext w:val="0"/>
              <w:keepLines/>
            </w:pPr>
            <w:r>
              <w:rPr>
                <w:sz w:val="20"/>
              </w:rPr>
              <w:t>Geological and environmental identity</w:t>
            </w:r>
          </w:p>
        </w:tc>
        <w:tc>
          <w:tcPr>
            <w:tcW w:type="dxa" w:w="3298"/>
            <w:vAlign w:val="center"/>
            <w:tcMar>
              <w:top w:w="85" w:type="dxa"/>
              <w:bottom w:w="85" w:type="dxa"/>
              <w:left w:w="95" w:type="dxa"/>
              <w:right w:w="95" w:type="dxa"/>
            </w:tcMar>
            <w:shd w:fill="F3F5F6"/>
          </w:tcPr>
          <w:p>
            <w:pPr>
              <w:pStyle w:val="TableText"/>
              <w:keepNext w:val="0"/>
              <w:keepLines/>
            </w:pPr>
            <w:r>
              <w:rPr>
                <w:sz w:val="20"/>
              </w:rPr>
              <w:t>Realm experiences, materials, water and light rules</w:t>
            </w:r>
          </w:p>
        </w:tc>
        <w:tc>
          <w:tcPr>
            <w:tcW w:type="dxa" w:w="4197"/>
            <w:vAlign w:val="center"/>
            <w:tcMar>
              <w:top w:w="85" w:type="dxa"/>
              <w:bottom w:w="85" w:type="dxa"/>
              <w:left w:w="95" w:type="dxa"/>
              <w:right w:w="95" w:type="dxa"/>
            </w:tcMar>
            <w:shd w:fill="F3F5F6"/>
          </w:tcPr>
          <w:p>
            <w:pPr>
              <w:pStyle w:val="TableText"/>
              <w:keepNext w:val="0"/>
              <w:keepLines/>
            </w:pPr>
            <w:r>
              <w:rPr>
                <w:sz w:val="20"/>
              </w:rPr>
              <w:t>Learn where a useful material occurs and extract it through a readable local challenge.</w:t>
            </w:r>
          </w:p>
        </w:tc>
      </w:tr>
      <w:tr>
        <w:trPr>
          <w:cantSplit/>
        </w:trPr>
        <w:tc>
          <w:tcPr>
            <w:tcW w:type="dxa" w:w="2498"/>
            <w:vAlign w:val="center"/>
            <w:tcMar>
              <w:top w:w="85" w:type="dxa"/>
              <w:bottom w:w="85" w:type="dxa"/>
              <w:left w:w="95" w:type="dxa"/>
              <w:right w:w="95" w:type="dxa"/>
            </w:tcMar>
            <w:shd w:fill="FFFFFF"/>
          </w:tcPr>
          <w:p>
            <w:pPr>
              <w:pStyle w:val="TableText"/>
              <w:keepNext w:val="0"/>
              <w:keepLines/>
            </w:pPr>
            <w:r>
              <w:rPr>
                <w:sz w:val="20"/>
              </w:rPr>
              <w:t>First settlement adventure</w:t>
            </w:r>
          </w:p>
        </w:tc>
        <w:tc>
          <w:tcPr>
            <w:tcW w:type="dxa" w:w="3298"/>
            <w:vAlign w:val="center"/>
            <w:tcMar>
              <w:top w:w="85" w:type="dxa"/>
              <w:bottom w:w="85" w:type="dxa"/>
              <w:left w:w="95" w:type="dxa"/>
              <w:right w:w="95" w:type="dxa"/>
            </w:tcMar>
            <w:shd w:fill="FFFFFF"/>
          </w:tcPr>
          <w:p>
            <w:pPr>
              <w:pStyle w:val="TableText"/>
              <w:keepNext w:val="0"/>
              <w:keepLines/>
            </w:pPr>
            <w:r>
              <w:rPr>
                <w:sz w:val="20"/>
              </w:rPr>
              <w:t>Old Valley chapters and project states</w:t>
            </w:r>
          </w:p>
        </w:tc>
        <w:tc>
          <w:tcPr>
            <w:tcW w:type="dxa" w:w="4197"/>
            <w:vAlign w:val="center"/>
            <w:tcMar>
              <w:top w:w="85" w:type="dxa"/>
              <w:bottom w:w="85" w:type="dxa"/>
              <w:left w:w="95" w:type="dxa"/>
              <w:right w:w="95" w:type="dxa"/>
            </w:tcMar>
            <w:shd w:fill="FFFFFF"/>
          </w:tcPr>
          <w:p>
            <w:pPr>
              <w:pStyle w:val="TableText"/>
              <w:keepNext w:val="0"/>
              <w:keepLines/>
            </w:pPr>
            <w:r>
              <w:rPr>
                <w:sz w:val="20"/>
              </w:rPr>
              <w:t>Repair the guesthouse and use the result as a dependable home.</w:t>
            </w:r>
          </w:p>
        </w:tc>
      </w:tr>
      <w:tr>
        <w:trPr>
          <w:cantSplit/>
        </w:trPr>
        <w:tc>
          <w:tcPr>
            <w:tcW w:type="dxa" w:w="2498"/>
            <w:vAlign w:val="center"/>
            <w:tcMar>
              <w:top w:w="85" w:type="dxa"/>
              <w:bottom w:w="85" w:type="dxa"/>
              <w:left w:w="95" w:type="dxa"/>
              <w:right w:w="95" w:type="dxa"/>
            </w:tcMar>
            <w:shd w:fill="F3F5F6"/>
          </w:tcPr>
          <w:p>
            <w:pPr>
              <w:pStyle w:val="TableText"/>
              <w:keepNext w:val="0"/>
              <w:keepLines/>
            </w:pPr>
            <w:r>
              <w:rPr>
                <w:sz w:val="20"/>
              </w:rPr>
              <w:t>Authored construction</w:t>
            </w:r>
          </w:p>
        </w:tc>
        <w:tc>
          <w:tcPr>
            <w:tcW w:type="dxa" w:w="3298"/>
            <w:vAlign w:val="center"/>
            <w:tcMar>
              <w:top w:w="85" w:type="dxa"/>
              <w:bottom w:w="85" w:type="dxa"/>
              <w:left w:w="95" w:type="dxa"/>
              <w:right w:w="95" w:type="dxa"/>
            </w:tcMar>
            <w:shd w:fill="F3F5F6"/>
          </w:tcPr>
          <w:p>
            <w:pPr>
              <w:pStyle w:val="TableText"/>
              <w:keepNext w:val="0"/>
              <w:keepLines/>
            </w:pPr>
            <w:r>
              <w:rPr>
                <w:sz w:val="20"/>
              </w:rPr>
              <w:t>Footprints, custody, stages, pause, collision handling</w:t>
            </w:r>
          </w:p>
        </w:tc>
        <w:tc>
          <w:tcPr>
            <w:tcW w:type="dxa" w:w="4197"/>
            <w:vAlign w:val="center"/>
            <w:tcMar>
              <w:top w:w="85" w:type="dxa"/>
              <w:bottom w:w="85" w:type="dxa"/>
              <w:left w:w="95" w:type="dxa"/>
              <w:right w:w="95" w:type="dxa"/>
            </w:tcMar>
            <w:shd w:fill="F3F5F6"/>
          </w:tcPr>
          <w:p>
            <w:pPr>
              <w:pStyle w:val="TableText"/>
              <w:keepNext w:val="0"/>
              <w:keepLines/>
            </w:pPr>
            <w:r>
              <w:rPr>
                <w:sz w:val="20"/>
              </w:rPr>
              <w:t>Supply and complete a crossing that changes actual travel.</w:t>
            </w:r>
          </w:p>
        </w:tc>
      </w:tr>
      <w:tr>
        <w:trPr>
          <w:cantSplit/>
        </w:trPr>
        <w:tc>
          <w:tcPr>
            <w:tcW w:type="dxa" w:w="2498"/>
            <w:vAlign w:val="center"/>
            <w:tcMar>
              <w:top w:w="85" w:type="dxa"/>
              <w:bottom w:w="85" w:type="dxa"/>
              <w:left w:w="95" w:type="dxa"/>
              <w:right w:w="95" w:type="dxa"/>
            </w:tcMar>
            <w:shd w:fill="FFFFFF"/>
          </w:tcPr>
          <w:p>
            <w:pPr>
              <w:pStyle w:val="TableText"/>
              <w:keepNext w:val="0"/>
              <w:keepLines/>
            </w:pPr>
            <w:r>
              <w:rPr>
                <w:sz w:val="20"/>
              </w:rPr>
              <w:t>Ecology and cultivation</w:t>
            </w:r>
          </w:p>
        </w:tc>
        <w:tc>
          <w:tcPr>
            <w:tcW w:type="dxa" w:w="3298"/>
            <w:vAlign w:val="center"/>
            <w:tcMar>
              <w:top w:w="85" w:type="dxa"/>
              <w:bottom w:w="85" w:type="dxa"/>
              <w:left w:w="95" w:type="dxa"/>
              <w:right w:w="95" w:type="dxa"/>
            </w:tcMar>
            <w:shd w:fill="FFFFFF"/>
          </w:tcPr>
          <w:p>
            <w:pPr>
              <w:pStyle w:val="TableText"/>
              <w:keepNext w:val="0"/>
              <w:keepLines/>
            </w:pPr>
            <w:r>
              <w:rPr>
                <w:sz w:val="20"/>
              </w:rPr>
              <w:t>Deepwilds profiles, FL and BIO catalogues</w:t>
            </w:r>
          </w:p>
        </w:tc>
        <w:tc>
          <w:tcPr>
            <w:tcW w:type="dxa" w:w="4197"/>
            <w:vAlign w:val="center"/>
            <w:tcMar>
              <w:top w:w="85" w:type="dxa"/>
              <w:bottom w:w="85" w:type="dxa"/>
              <w:left w:w="95" w:type="dxa"/>
              <w:right w:w="95" w:type="dxa"/>
            </w:tcMar>
            <w:shd w:fill="FFFFFF"/>
          </w:tcPr>
          <w:p>
            <w:pPr>
              <w:pStyle w:val="TableText"/>
              <w:keepNext w:val="0"/>
              <w:keepLines/>
            </w:pPr>
            <w:r>
              <w:rPr>
                <w:sz w:val="20"/>
              </w:rPr>
              <w:t>Bring a useful sample home and cultivate it under clear conditions.</w:t>
            </w:r>
          </w:p>
        </w:tc>
      </w:tr>
      <w:tr>
        <w:trPr>
          <w:cantSplit/>
        </w:trPr>
        <w:tc>
          <w:tcPr>
            <w:tcW w:type="dxa" w:w="2498"/>
            <w:vAlign w:val="center"/>
            <w:tcMar>
              <w:top w:w="85" w:type="dxa"/>
              <w:bottom w:w="85" w:type="dxa"/>
              <w:left w:w="95" w:type="dxa"/>
              <w:right w:w="95" w:type="dxa"/>
            </w:tcMar>
            <w:shd w:fill="F3F5F6"/>
          </w:tcPr>
          <w:p>
            <w:pPr>
              <w:pStyle w:val="TableText"/>
              <w:keepNext w:val="0"/>
              <w:keepLines/>
            </w:pPr>
            <w:r>
              <w:rPr>
                <w:sz w:val="20"/>
              </w:rPr>
              <w:t>Expedition equipment</w:t>
            </w:r>
          </w:p>
        </w:tc>
        <w:tc>
          <w:tcPr>
            <w:tcW w:type="dxa" w:w="3298"/>
            <w:vAlign w:val="center"/>
            <w:tcMar>
              <w:top w:w="85" w:type="dxa"/>
              <w:bottom w:w="85" w:type="dxa"/>
              <w:left w:w="95" w:type="dxa"/>
              <w:right w:w="95" w:type="dxa"/>
            </w:tcMar>
            <w:shd w:fill="F3F5F6"/>
          </w:tcPr>
          <w:p>
            <w:pPr>
              <w:pStyle w:val="TableText"/>
              <w:keepNext w:val="0"/>
              <w:keepLines/>
            </w:pPr>
            <w:r>
              <w:rPr>
                <w:sz w:val="20"/>
              </w:rPr>
              <w:t>EQ catalogue and hazard rules</w:t>
            </w:r>
          </w:p>
        </w:tc>
        <w:tc>
          <w:tcPr>
            <w:tcW w:type="dxa" w:w="4197"/>
            <w:vAlign w:val="center"/>
            <w:tcMar>
              <w:top w:w="85" w:type="dxa"/>
              <w:bottom w:w="85" w:type="dxa"/>
              <w:left w:w="95" w:type="dxa"/>
              <w:right w:w="95" w:type="dxa"/>
            </w:tcMar>
            <w:shd w:fill="F3F5F6"/>
          </w:tcPr>
          <w:p>
            <w:pPr>
              <w:pStyle w:val="TableText"/>
              <w:keepNext w:val="0"/>
              <w:keepLines/>
            </w:pPr>
            <w:r>
              <w:rPr>
                <w:sz w:val="20"/>
              </w:rPr>
              <w:t>Prepare for a previously intimidating route and complete it safely.</w:t>
            </w:r>
          </w:p>
        </w:tc>
      </w:tr>
      <w:tr>
        <w:trPr>
          <w:cantSplit/>
        </w:trPr>
        <w:tc>
          <w:tcPr>
            <w:tcW w:type="dxa" w:w="2498"/>
            <w:vAlign w:val="center"/>
            <w:tcMar>
              <w:top w:w="85" w:type="dxa"/>
              <w:bottom w:w="85" w:type="dxa"/>
              <w:left w:w="95" w:type="dxa"/>
              <w:right w:w="95" w:type="dxa"/>
            </w:tcMar>
            <w:shd w:fill="FFFFFF"/>
          </w:tcPr>
          <w:p>
            <w:pPr>
              <w:pStyle w:val="TableText"/>
              <w:keepNext w:val="0"/>
              <w:keepLines/>
            </w:pPr>
            <w:r>
              <w:rPr>
                <w:sz w:val="20"/>
              </w:rPr>
              <w:t>Underground communities</w:t>
            </w:r>
          </w:p>
        </w:tc>
        <w:tc>
          <w:tcPr>
            <w:tcW w:type="dxa" w:w="3298"/>
            <w:vAlign w:val="center"/>
            <w:tcMar>
              <w:top w:w="85" w:type="dxa"/>
              <w:bottom w:w="85" w:type="dxa"/>
              <w:left w:w="95" w:type="dxa"/>
              <w:right w:w="95" w:type="dxa"/>
            </w:tcMar>
            <w:shd w:fill="FFFFFF"/>
          </w:tcPr>
          <w:p>
            <w:pPr>
              <w:pStyle w:val="TableText"/>
              <w:keepNext w:val="0"/>
              <w:keepLines/>
            </w:pPr>
            <w:r>
              <w:rPr>
                <w:sz w:val="20"/>
              </w:rPr>
              <w:t>Earth anchors, services, transport, visitors</w:t>
            </w:r>
          </w:p>
        </w:tc>
        <w:tc>
          <w:tcPr>
            <w:tcW w:type="dxa" w:w="4197"/>
            <w:vAlign w:val="center"/>
            <w:tcMar>
              <w:top w:w="85" w:type="dxa"/>
              <w:bottom w:w="85" w:type="dxa"/>
              <w:left w:w="95" w:type="dxa"/>
              <w:right w:w="95" w:type="dxa"/>
            </w:tcMar>
            <w:shd w:fill="FFFFFF"/>
          </w:tcPr>
          <w:p>
            <w:pPr>
              <w:pStyle w:val="TableText"/>
              <w:keepNext w:val="0"/>
              <w:keepLines/>
            </w:pPr>
            <w:r>
              <w:rPr>
                <w:sz w:val="20"/>
              </w:rPr>
              <w:t>Establish a refuge that shortens repeated expeditions and supports a local chapter.</w:t>
            </w:r>
          </w:p>
        </w:tc>
      </w:tr>
      <w:tr>
        <w:trPr>
          <w:cantSplit/>
        </w:trPr>
        <w:tc>
          <w:tcPr>
            <w:tcW w:type="dxa" w:w="2498"/>
            <w:vAlign w:val="center"/>
            <w:tcMar>
              <w:top w:w="85" w:type="dxa"/>
              <w:bottom w:w="85" w:type="dxa"/>
              <w:left w:w="95" w:type="dxa"/>
              <w:right w:w="95" w:type="dxa"/>
            </w:tcMar>
            <w:shd w:fill="F3F5F6"/>
          </w:tcPr>
          <w:p>
            <w:pPr>
              <w:pStyle w:val="TableText"/>
              <w:keepNext w:val="0"/>
              <w:keepLines/>
            </w:pPr>
            <w:r>
              <w:rPr>
                <w:sz w:val="20"/>
              </w:rPr>
              <w:t>Discovery and narrative</w:t>
            </w:r>
          </w:p>
        </w:tc>
        <w:tc>
          <w:tcPr>
            <w:tcW w:type="dxa" w:w="3298"/>
            <w:vAlign w:val="center"/>
            <w:tcMar>
              <w:top w:w="85" w:type="dxa"/>
              <w:bottom w:w="85" w:type="dxa"/>
              <w:left w:w="95" w:type="dxa"/>
              <w:right w:w="95" w:type="dxa"/>
            </w:tcMar>
            <w:shd w:fill="F3F5F6"/>
          </w:tcPr>
          <w:p>
            <w:pPr>
              <w:pStyle w:val="TableText"/>
              <w:keepNext w:val="0"/>
              <w:keepLines/>
            </w:pPr>
            <w:r>
              <w:rPr>
                <w:sz w:val="20"/>
              </w:rPr>
              <w:t>Journal, encounter designs, survey history</w:t>
            </w:r>
          </w:p>
        </w:tc>
        <w:tc>
          <w:tcPr>
            <w:tcW w:type="dxa" w:w="4197"/>
            <w:vAlign w:val="center"/>
            <w:tcMar>
              <w:top w:w="85" w:type="dxa"/>
              <w:bottom w:w="85" w:type="dxa"/>
              <w:left w:w="95" w:type="dxa"/>
              <w:right w:w="95" w:type="dxa"/>
            </w:tcMar>
            <w:shd w:fill="F3F5F6"/>
          </w:tcPr>
          <w:p>
            <w:pPr>
              <w:pStyle w:val="TableText"/>
              <w:keepNext w:val="0"/>
              <w:keepLines/>
            </w:pPr>
            <w:r>
              <w:rPr>
                <w:sz w:val="20"/>
              </w:rPr>
              <w:t>Return a finding, interpret it, and discover a worthwhile next destination.</w:t>
            </w:r>
          </w:p>
        </w:tc>
      </w:tr>
      <w:tr>
        <w:trPr>
          <w:cantSplit/>
        </w:trPr>
        <w:tc>
          <w:tcPr>
            <w:tcW w:type="dxa" w:w="2498"/>
            <w:vAlign w:val="center"/>
            <w:tcMar>
              <w:top w:w="85" w:type="dxa"/>
              <w:bottom w:w="85" w:type="dxa"/>
              <w:left w:w="95" w:type="dxa"/>
              <w:right w:w="95" w:type="dxa"/>
            </w:tcMar>
            <w:shd w:fill="FFFFFF"/>
          </w:tcPr>
          <w:p>
            <w:pPr>
              <w:pStyle w:val="TableText"/>
              <w:keepNext w:val="0"/>
              <w:keepLines/>
            </w:pPr>
            <w:r>
              <w:rPr>
                <w:sz w:val="20"/>
              </w:rPr>
              <w:t>Crafting and production</w:t>
            </w:r>
          </w:p>
        </w:tc>
        <w:tc>
          <w:tcPr>
            <w:tcW w:type="dxa" w:w="3298"/>
            <w:vAlign w:val="center"/>
            <w:tcMar>
              <w:top w:w="85" w:type="dxa"/>
              <w:bottom w:w="85" w:type="dxa"/>
              <w:left w:w="95" w:type="dxa"/>
              <w:right w:w="95" w:type="dxa"/>
            </w:tcMar>
            <w:shd w:fill="FFFFFF"/>
          </w:tcPr>
          <w:p>
            <w:pPr>
              <w:pStyle w:val="TableText"/>
              <w:keepNext w:val="0"/>
              <w:keepLines/>
            </w:pPr>
            <w:r>
              <w:rPr>
                <w:sz w:val="20"/>
              </w:rPr>
              <w:t>Material families, workshops, input and output rules</w:t>
            </w:r>
          </w:p>
        </w:tc>
        <w:tc>
          <w:tcPr>
            <w:tcW w:type="dxa" w:w="4197"/>
            <w:vAlign w:val="center"/>
            <w:tcMar>
              <w:top w:w="85" w:type="dxa"/>
              <w:bottom w:w="85" w:type="dxa"/>
              <w:left w:w="95" w:type="dxa"/>
              <w:right w:w="95" w:type="dxa"/>
            </w:tcMar>
            <w:shd w:fill="FFFFFF"/>
          </w:tcPr>
          <w:p>
            <w:pPr>
              <w:pStyle w:val="TableText"/>
              <w:keepNext w:val="0"/>
              <w:keepLines/>
            </w:pPr>
            <w:r>
              <w:rPr>
                <w:sz w:val="20"/>
              </w:rPr>
              <w:t>Build an installation that turns a local discovery into a reliable useful product.</w:t>
            </w:r>
          </w:p>
        </w:tc>
      </w:tr>
      <w:tr>
        <w:trPr>
          <w:cantSplit/>
        </w:trPr>
        <w:tc>
          <w:tcPr>
            <w:tcW w:type="dxa" w:w="2498"/>
            <w:vAlign w:val="center"/>
            <w:tcMar>
              <w:top w:w="85" w:type="dxa"/>
              <w:bottom w:w="85" w:type="dxa"/>
              <w:left w:w="95" w:type="dxa"/>
              <w:right w:w="95" w:type="dxa"/>
            </w:tcMar>
            <w:shd w:fill="F3F5F6"/>
          </w:tcPr>
          <w:p>
            <w:pPr>
              <w:pStyle w:val="TableText"/>
              <w:keepNext w:val="0"/>
              <w:keepLines/>
            </w:pPr>
            <w:r>
              <w:rPr>
                <w:sz w:val="20"/>
              </w:rPr>
              <w:t>Cooperative world state</w:t>
            </w:r>
          </w:p>
        </w:tc>
        <w:tc>
          <w:tcPr>
            <w:tcW w:type="dxa" w:w="3298"/>
            <w:vAlign w:val="center"/>
            <w:tcMar>
              <w:top w:w="85" w:type="dxa"/>
              <w:bottom w:w="85" w:type="dxa"/>
              <w:left w:w="95" w:type="dxa"/>
              <w:right w:w="95" w:type="dxa"/>
            </w:tcMar>
            <w:shd w:fill="F3F5F6"/>
          </w:tcPr>
          <w:p>
            <w:pPr>
              <w:pStyle w:val="TableText"/>
              <w:keepNext w:val="0"/>
              <w:keepLines/>
            </w:pPr>
            <w:r>
              <w:rPr>
                <w:sz w:val="20"/>
              </w:rPr>
              <w:t>Participation, ownership, shared milestones, recovery</w:t>
            </w:r>
          </w:p>
        </w:tc>
        <w:tc>
          <w:tcPr>
            <w:tcW w:type="dxa" w:w="4197"/>
            <w:vAlign w:val="center"/>
            <w:tcMar>
              <w:top w:w="85" w:type="dxa"/>
              <w:bottom w:w="85" w:type="dxa"/>
              <w:left w:w="95" w:type="dxa"/>
              <w:right w:w="95" w:type="dxa"/>
            </w:tcMar>
            <w:shd w:fill="F3F5F6"/>
          </w:tcPr>
          <w:p>
            <w:pPr>
              <w:pStyle w:val="TableText"/>
              <w:keepNext w:val="0"/>
              <w:keepLines/>
            </w:pPr>
            <w:r>
              <w:rPr>
                <w:sz w:val="20"/>
              </w:rPr>
              <w:t>Friends contribute at different times without losing resources or replaying a completed world change.</w:t>
            </w:r>
          </w:p>
        </w:tc>
      </w:tr>
      <w:tr>
        <w:trPr>
          <w:cantSplit/>
        </w:trPr>
        <w:tc>
          <w:tcPr>
            <w:tcW w:type="dxa" w:w="2498"/>
            <w:vAlign w:val="center"/>
            <w:tcMar>
              <w:top w:w="85" w:type="dxa"/>
              <w:bottom w:w="85" w:type="dxa"/>
              <w:left w:w="95" w:type="dxa"/>
              <w:right w:w="95" w:type="dxa"/>
            </w:tcMar>
            <w:shd w:fill="FFFFFF"/>
          </w:tcPr>
          <w:p>
            <w:pPr>
              <w:pStyle w:val="TableText"/>
              <w:keepNext w:val="0"/>
              <w:keepLines/>
            </w:pPr>
            <w:r>
              <w:rPr>
                <w:sz w:val="20"/>
              </w:rPr>
              <w:t>Spacecraft and mission preparation</w:t>
            </w:r>
          </w:p>
        </w:tc>
        <w:tc>
          <w:tcPr>
            <w:tcW w:type="dxa" w:w="3298"/>
            <w:vAlign w:val="center"/>
            <w:tcMar>
              <w:top w:w="85" w:type="dxa"/>
              <w:bottom w:w="85" w:type="dxa"/>
              <w:left w:w="95" w:type="dxa"/>
              <w:right w:w="95" w:type="dxa"/>
            </w:tcMar>
            <w:shd w:fill="FFFFFF"/>
          </w:tcPr>
          <w:p>
            <w:pPr>
              <w:pStyle w:val="TableText"/>
              <w:keepNext w:val="0"/>
              <w:keepLines/>
            </w:pPr>
            <w:r>
              <w:rPr>
                <w:sz w:val="20"/>
              </w:rPr>
              <w:t>Six craft classes, hull layouts, readiness, recovery</w:t>
            </w:r>
          </w:p>
        </w:tc>
        <w:tc>
          <w:tcPr>
            <w:tcW w:type="dxa" w:w="4197"/>
            <w:vAlign w:val="center"/>
            <w:tcMar>
              <w:top w:w="85" w:type="dxa"/>
              <w:bottom w:w="85" w:type="dxa"/>
              <w:left w:w="95" w:type="dxa"/>
              <w:right w:w="95" w:type="dxa"/>
            </w:tcMar>
            <w:shd w:fill="FFFFFF"/>
          </w:tcPr>
          <w:p>
            <w:pPr>
              <w:pStyle w:val="TableText"/>
              <w:keepNext w:val="0"/>
              <w:keepLines/>
            </w:pPr>
            <w:r>
              <w:rPr>
                <w:sz w:val="20"/>
              </w:rPr>
              <w:t>Assemble a lunar-capable vessel, choose a loadout, travel, and return.</w:t>
            </w:r>
          </w:p>
        </w:tc>
      </w:tr>
      <w:tr>
        <w:trPr>
          <w:cantSplit/>
        </w:trPr>
        <w:tc>
          <w:tcPr>
            <w:tcW w:type="dxa" w:w="2498"/>
            <w:vAlign w:val="center"/>
            <w:tcMar>
              <w:top w:w="85" w:type="dxa"/>
              <w:bottom w:w="85" w:type="dxa"/>
              <w:left w:w="95" w:type="dxa"/>
              <w:right w:w="95" w:type="dxa"/>
            </w:tcMar>
            <w:shd w:fill="F3F5F6"/>
          </w:tcPr>
          <w:p>
            <w:pPr>
              <w:pStyle w:val="TableText"/>
              <w:keepNext w:val="0"/>
              <w:keepLines/>
            </w:pPr>
            <w:r>
              <w:rPr>
                <w:sz w:val="20"/>
              </w:rPr>
              <w:t>Destination generation</w:t>
            </w:r>
          </w:p>
        </w:tc>
        <w:tc>
          <w:tcPr>
            <w:tcW w:type="dxa" w:w="3298"/>
            <w:vAlign w:val="center"/>
            <w:tcMar>
              <w:top w:w="85" w:type="dxa"/>
              <w:bottom w:w="85" w:type="dxa"/>
              <w:left w:w="95" w:type="dxa"/>
              <w:right w:w="95" w:type="dxa"/>
            </w:tcMar>
            <w:shd w:fill="F3F5F6"/>
          </w:tcPr>
          <w:p>
            <w:pPr>
              <w:pStyle w:val="TableText"/>
              <w:keepNext w:val="0"/>
              <w:keepLines/>
            </w:pPr>
            <w:r>
              <w:rPr>
                <w:sz w:val="20"/>
              </w:rPr>
              <w:t>Surface and subsurface celestial profiles</w:t>
            </w:r>
          </w:p>
        </w:tc>
        <w:tc>
          <w:tcPr>
            <w:tcW w:type="dxa" w:w="4197"/>
            <w:vAlign w:val="center"/>
            <w:tcMar>
              <w:top w:w="85" w:type="dxa"/>
              <w:bottom w:w="85" w:type="dxa"/>
              <w:left w:w="95" w:type="dxa"/>
              <w:right w:w="95" w:type="dxa"/>
            </w:tcMar>
            <w:shd w:fill="F3F5F6"/>
          </w:tcPr>
          <w:p>
            <w:pPr>
              <w:pStyle w:val="TableText"/>
              <w:keepNext w:val="0"/>
              <w:keepLines/>
            </w:pPr>
            <w:r>
              <w:rPr>
                <w:sz w:val="20"/>
              </w:rPr>
              <w:t>Establish a foothold and complete one distinctly planetary expedition.</w:t>
            </w:r>
          </w:p>
        </w:tc>
      </w:tr>
      <w:tr>
        <w:trPr>
          <w:cantSplit/>
        </w:trPr>
        <w:tc>
          <w:tcPr>
            <w:tcW w:type="dxa" w:w="2498"/>
            <w:vAlign w:val="center"/>
            <w:tcMar>
              <w:top w:w="85" w:type="dxa"/>
              <w:bottom w:w="85" w:type="dxa"/>
              <w:left w:w="95" w:type="dxa"/>
              <w:right w:w="95" w:type="dxa"/>
            </w:tcMar>
            <w:shd w:fill="FFFFFF"/>
          </w:tcPr>
          <w:p>
            <w:pPr>
              <w:pStyle w:val="TableText"/>
              <w:keepNext w:val="0"/>
              <w:keepLines/>
            </w:pPr>
            <w:r>
              <w:rPr>
                <w:sz w:val="20"/>
              </w:rPr>
              <w:t>Visual and audio presentation</w:t>
            </w:r>
          </w:p>
        </w:tc>
        <w:tc>
          <w:tcPr>
            <w:tcW w:type="dxa" w:w="3298"/>
            <w:vAlign w:val="center"/>
            <w:tcMar>
              <w:top w:w="85" w:type="dxa"/>
              <w:bottom w:w="85" w:type="dxa"/>
              <w:left w:w="95" w:type="dxa"/>
              <w:right w:w="95" w:type="dxa"/>
            </w:tcMar>
            <w:shd w:fill="FFFFFF"/>
          </w:tcPr>
          <w:p>
            <w:pPr>
              <w:pStyle w:val="TableText"/>
              <w:keepNext w:val="0"/>
              <w:keepLines/>
            </w:pPr>
            <w:r>
              <w:rPr>
                <w:sz w:val="20"/>
              </w:rPr>
              <w:t>Realm palettes, exact references, sound rules</w:t>
            </w:r>
          </w:p>
        </w:tc>
        <w:tc>
          <w:tcPr>
            <w:tcW w:type="dxa" w:w="4197"/>
            <w:vAlign w:val="center"/>
            <w:tcMar>
              <w:top w:w="85" w:type="dxa"/>
              <w:bottom w:w="85" w:type="dxa"/>
              <w:left w:w="95" w:type="dxa"/>
              <w:right w:w="95" w:type="dxa"/>
            </w:tcMar>
            <w:shd w:fill="FFFFFF"/>
          </w:tcPr>
          <w:p>
            <w:pPr>
              <w:pStyle w:val="TableText"/>
              <w:keepNext w:val="0"/>
              <w:keepLines/>
            </w:pPr>
            <w:r>
              <w:rPr>
                <w:sz w:val="20"/>
              </w:rPr>
              <w:t>Make a proved place readable, attractive, and accessible in baseline presentation.</w:t>
            </w:r>
          </w:p>
        </w:tc>
      </w:tr>
      <w:tr>
        <w:trPr>
          <w:cantSplit/>
        </w:trPr>
        <w:tc>
          <w:tcPr>
            <w:tcW w:type="dxa" w:w="2498"/>
            <w:vAlign w:val="center"/>
            <w:tcMar>
              <w:top w:w="85" w:type="dxa"/>
              <w:bottom w:w="85" w:type="dxa"/>
              <w:left w:w="95" w:type="dxa"/>
              <w:right w:w="95" w:type="dxa"/>
            </w:tcMar>
            <w:shd w:fill="F3F5F6"/>
          </w:tcPr>
          <w:p>
            <w:pPr>
              <w:pStyle w:val="TableText"/>
              <w:keepNext w:val="0"/>
              <w:keepLines/>
            </w:pPr>
            <w:r>
              <w:rPr>
                <w:sz w:val="20"/>
              </w:rPr>
              <w:t>Persistence and world evolution</w:t>
            </w:r>
          </w:p>
        </w:tc>
        <w:tc>
          <w:tcPr>
            <w:tcW w:type="dxa" w:w="3298"/>
            <w:vAlign w:val="center"/>
            <w:tcMar>
              <w:top w:w="85" w:type="dxa"/>
              <w:bottom w:w="85" w:type="dxa"/>
              <w:left w:w="95" w:type="dxa"/>
              <w:right w:w="95" w:type="dxa"/>
            </w:tcMar>
            <w:shd w:fill="F3F5F6"/>
          </w:tcPr>
          <w:p>
            <w:pPr>
              <w:pStyle w:val="TableText"/>
              <w:keepNext w:val="0"/>
              <w:keepLines/>
            </w:pPr>
            <w:r>
              <w:rPr>
                <w:sz w:val="20"/>
              </w:rPr>
              <w:t>State continuity and generation revision expectations</w:t>
            </w:r>
          </w:p>
        </w:tc>
        <w:tc>
          <w:tcPr>
            <w:tcW w:type="dxa" w:w="4197"/>
            <w:vAlign w:val="center"/>
            <w:tcMar>
              <w:top w:w="85" w:type="dxa"/>
              <w:bottom w:w="85" w:type="dxa"/>
              <w:left w:w="95" w:type="dxa"/>
              <w:right w:w="95" w:type="dxa"/>
            </w:tcMar>
            <w:shd w:fill="F3F5F6"/>
          </w:tcPr>
          <w:p>
            <w:pPr>
              <w:pStyle w:val="TableText"/>
              <w:keepNext w:val="0"/>
              <w:keepLines/>
            </w:pPr>
            <w:r>
              <w:rPr>
                <w:sz w:val="20"/>
              </w:rPr>
              <w:t>Revisit an established route and unfinished project after a save and version change.</w:t>
            </w:r>
          </w:p>
        </w:tc>
      </w:tr>
    </w:tbl>
    <w:p>
      <w:pPr>
        <w:spacing w:after="0" w:before="0" w:line="60" w:lineRule="exact"/>
      </w:pPr>
      <w:r>
        <w:rPr>
          <w:sz w:val="6"/>
        </w:rPr>
      </w:r>
    </w:p>
    <w:p>
      <w:pPr>
        <w:pStyle w:val="Heading2"/>
      </w:pPr>
      <w:r>
        <w:t>A concise brief for a selected experience</w:t>
      </w:r>
    </w:p>
    <w:p>
      <w:pPr/>
      <w:r>
        <w:t>A later roadmap item should record the player promise, its content references, dependencies already proved, the smallest complete scenario, assets needed, important exclusions, and evidence of success. These fields can fit in one practical brief. They should not become a second lengthy design bible for every small task.</w:t>
      </w:r>
    </w:p>
    <w:p>
      <w:pPr/>
      <w:r>
        <w:t>For example, a Shallows crossing experience can draw from EAR02, SET02 principles, the project controller states, and a short route in Copperwash Channels. The playable result is a clearly blocked water crossing that the player inspects, supplies, builds, crosses, leaves, and revisits with its state preserved. Initial art can use a restrained existing palette while the interaction is proved. Larger settlements, unusual creatures, and powered transport are separate additions.</w:t>
      </w:r>
    </w:p>
    <w:p>
      <w:pPr/>
      <w:r>
        <w:t>The same format scales to a planetary experience. A first lunar expedition requires the chosen hull, an Earth-built survival loadout, a supported destination, a safe landing and exit, one meaningful local journey, and a verified return. A complete planetary civilization, arbitrary spacecraft physics, and every planned moon are not dependencies of that experience.</w:t>
      </w:r>
    </w:p>
    <w:p>
      <w:pPr>
        <w:pStyle w:val="Heading2"/>
      </w:pPr>
      <w:r>
        <w:t>What should count as successful content</w:t>
      </w:r>
    </w:p>
    <w:p>
      <w:pPr/>
      <w:r>
        <w:t>A region succeeds when players can recognize it, understand its routes, find several worthwhile activities, establish or use shelter, and describe what makes it different. Its generated variation must preserve the core experience across representative worlds. An attractive screenshot is useful evidence of visual direction, but it does not prove connectivity, survival balance, save continuity, or cooperative behavior.</w:t>
      </w:r>
    </w:p>
    <w:p>
      <w:pPr/>
      <w:r>
        <w:t>A system succeeds when its purpose is clear, its normal behavior is useful, and its interrupted or blocked behavior is understandable. A project must handle missing materials and occupied space. A route must handle revisits. A spacecraft must explain return readiness. A hazard must provide a signal and a response. These outcomes belong in experience validation because players encounter them naturally.</w:t>
      </w:r>
    </w:p>
    <w:p>
      <w:pPr/>
      <w:r>
        <w:t>A content update should leave existing homes and capabilities meaningful. New destinations add possibilities; new equipment improves preparation; new materials add useful choices. If each update requires discarding the previous world or abandoning every older tool, the long journey loses continuity.</w:t>
      </w:r>
    </w:p>
    <w:p>
      <w:pPr>
        <w:pStyle w:val="Heading2"/>
      </w:pPr>
      <w:r>
        <w:t>Proposed choices for creative review</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498"/>
        <w:gridCol w:w="3298"/>
        <w:gridCol w:w="4197"/>
      </w:tblGrid>
      <w:tr>
        <w:trPr>
          <w:cantSplit/>
          <w:tblHeader w:val="true"/>
        </w:trPr>
        <w:tc>
          <w:tcPr>
            <w:tcW w:type="dxa" w:w="2498"/>
            <w:vAlign w:val="center"/>
            <w:tcMar>
              <w:top w:w="85" w:type="dxa"/>
              <w:bottom w:w="85" w:type="dxa"/>
              <w:left w:w="95" w:type="dxa"/>
              <w:right w:w="95" w:type="dxa"/>
            </w:tcMar>
            <w:shd w:fill="233544"/>
          </w:tcPr>
          <w:p>
            <w:pPr>
              <w:pStyle w:val="TableText"/>
              <w:keepNext w:val="0"/>
              <w:keepLines/>
              <w:jc w:val="center"/>
            </w:pPr>
            <w:r>
              <w:rPr>
                <w:b/>
                <w:color w:val="FFFFFF"/>
                <w:sz w:val="20"/>
              </w:rPr>
              <w:t>Choice</w:t>
            </w:r>
          </w:p>
        </w:tc>
        <w:tc>
          <w:tcPr>
            <w:tcW w:type="dxa" w:w="3298"/>
            <w:vAlign w:val="center"/>
            <w:tcMar>
              <w:top w:w="85" w:type="dxa"/>
              <w:bottom w:w="85" w:type="dxa"/>
              <w:left w:w="95" w:type="dxa"/>
              <w:right w:w="95" w:type="dxa"/>
            </w:tcMar>
            <w:shd w:fill="233544"/>
          </w:tcPr>
          <w:p>
            <w:pPr>
              <w:pStyle w:val="TableText"/>
              <w:keepNext w:val="0"/>
              <w:keepLines/>
            </w:pPr>
            <w:r>
              <w:rPr>
                <w:b/>
                <w:color w:val="FFFFFF"/>
                <w:sz w:val="20"/>
              </w:rPr>
              <w:t>Direction proposed in this edition</w:t>
            </w:r>
          </w:p>
        </w:tc>
        <w:tc>
          <w:tcPr>
            <w:tcW w:type="dxa" w:w="4197"/>
            <w:vAlign w:val="center"/>
            <w:tcMar>
              <w:top w:w="85" w:type="dxa"/>
              <w:bottom w:w="85" w:type="dxa"/>
              <w:left w:w="95" w:type="dxa"/>
              <w:right w:w="95" w:type="dxa"/>
            </w:tcMar>
            <w:shd w:fill="233544"/>
          </w:tcPr>
          <w:p>
            <w:pPr>
              <w:pStyle w:val="TableText"/>
              <w:keepNext w:val="0"/>
              <w:keepLines/>
            </w:pPr>
            <w:r>
              <w:rPr>
                <w:b/>
                <w:color w:val="FFFFFF"/>
                <w:sz w:val="20"/>
              </w:rPr>
              <w:t>What would change if revised</w:t>
            </w:r>
          </w:p>
        </w:tc>
      </w:tr>
      <w:tr>
        <w:trPr>
          <w:cantSplit/>
        </w:trPr>
        <w:tc>
          <w:tcPr>
            <w:tcW w:type="dxa" w:w="2498"/>
            <w:vAlign w:val="center"/>
            <w:tcMar>
              <w:top w:w="85" w:type="dxa"/>
              <w:bottom w:w="85" w:type="dxa"/>
              <w:left w:w="95" w:type="dxa"/>
              <w:right w:w="95" w:type="dxa"/>
            </w:tcMar>
            <w:shd w:fill="FFFFFF"/>
          </w:tcPr>
          <w:p>
            <w:pPr>
              <w:pStyle w:val="TableText"/>
              <w:keepNext w:val="0"/>
              <w:keepLines/>
              <w:jc w:val="center"/>
            </w:pPr>
            <w:r>
              <w:rPr>
                <w:sz w:val="20"/>
              </w:rPr>
              <w:t>Earth scale</w:t>
            </w:r>
          </w:p>
        </w:tc>
        <w:tc>
          <w:tcPr>
            <w:tcW w:type="dxa" w:w="3298"/>
            <w:vAlign w:val="center"/>
            <w:tcMar>
              <w:top w:w="85" w:type="dxa"/>
              <w:bottom w:w="85" w:type="dxa"/>
              <w:left w:w="95" w:type="dxa"/>
              <w:right w:w="95" w:type="dxa"/>
            </w:tcMar>
            <w:shd w:fill="FFFFFF"/>
          </w:tcPr>
          <w:p>
            <w:pPr>
              <w:pStyle w:val="TableText"/>
              <w:keepNext w:val="0"/>
              <w:keepLines/>
            </w:pPr>
            <w:r>
              <w:rPr>
                <w:sz w:val="20"/>
              </w:rPr>
              <w:t>Keep the documented 512-level working envelope for current generation experiments; validate the full atlas before fixing long-term dimensions.</w:t>
            </w:r>
          </w:p>
        </w:tc>
        <w:tc>
          <w:tcPr>
            <w:tcW w:type="dxa" w:w="4197"/>
            <w:vAlign w:val="center"/>
            <w:tcMar>
              <w:top w:w="85" w:type="dxa"/>
              <w:bottom w:w="85" w:type="dxa"/>
              <w:left w:w="95" w:type="dxa"/>
              <w:right w:w="95" w:type="dxa"/>
            </w:tcMar>
            <w:shd w:fill="FFFFFF"/>
          </w:tcPr>
          <w:p>
            <w:pPr>
              <w:pStyle w:val="TableText"/>
              <w:keepNext w:val="0"/>
              <w:keepLines/>
            </w:pPr>
            <w:r>
              <w:rPr>
                <w:sz w:val="20"/>
              </w:rPr>
              <w:t>Realm spacing, route lengths, and the engineering approach to deeper content.</w:t>
            </w:r>
          </w:p>
        </w:tc>
      </w:tr>
      <w:tr>
        <w:trPr>
          <w:cantSplit/>
        </w:trPr>
        <w:tc>
          <w:tcPr>
            <w:tcW w:type="dxa" w:w="2498"/>
            <w:vAlign w:val="center"/>
            <w:tcMar>
              <w:top w:w="85" w:type="dxa"/>
              <w:bottom w:w="85" w:type="dxa"/>
              <w:left w:w="95" w:type="dxa"/>
              <w:right w:w="95" w:type="dxa"/>
            </w:tcMar>
            <w:shd w:fill="F3F5F6"/>
          </w:tcPr>
          <w:p>
            <w:pPr>
              <w:pStyle w:val="TableText"/>
              <w:keepNext w:val="0"/>
              <w:keepLines/>
              <w:jc w:val="center"/>
            </w:pPr>
            <w:r>
              <w:rPr>
                <w:sz w:val="20"/>
              </w:rPr>
              <w:t>Layer identity</w:t>
            </w:r>
          </w:p>
        </w:tc>
        <w:tc>
          <w:tcPr>
            <w:tcW w:type="dxa" w:w="3298"/>
            <w:vAlign w:val="center"/>
            <w:tcMar>
              <w:top w:w="85" w:type="dxa"/>
              <w:bottom w:w="85" w:type="dxa"/>
              <w:left w:w="95" w:type="dxa"/>
              <w:right w:w="95" w:type="dxa"/>
            </w:tcMar>
            <w:shd w:fill="F3F5F6"/>
          </w:tcPr>
          <w:p>
            <w:pPr>
              <w:pStyle w:val="TableText"/>
              <w:keepNext w:val="0"/>
              <w:keepLines/>
            </w:pPr>
            <w:r>
              <w:rPr>
                <w:sz w:val="20"/>
              </w:rPr>
              <w:t>Preserve all seven established realm names with irregular regional overlap and substantial lateral exploration.</w:t>
            </w:r>
          </w:p>
        </w:tc>
        <w:tc>
          <w:tcPr>
            <w:tcW w:type="dxa" w:w="4197"/>
            <w:vAlign w:val="center"/>
            <w:tcMar>
              <w:top w:w="85" w:type="dxa"/>
              <w:bottom w:w="85" w:type="dxa"/>
              <w:left w:w="95" w:type="dxa"/>
              <w:right w:w="95" w:type="dxa"/>
            </w:tcMar>
            <w:shd w:fill="F3F5F6"/>
          </w:tcPr>
          <w:p>
            <w:pPr>
              <w:pStyle w:val="TableText"/>
              <w:keepNext w:val="0"/>
              <w:keepLines/>
            </w:pPr>
            <w:r>
              <w:rPr>
                <w:sz w:val="20"/>
              </w:rPr>
              <w:t>The central structure of the Earth atlas and its illustration sequence.</w:t>
            </w:r>
          </w:p>
        </w:tc>
      </w:tr>
      <w:tr>
        <w:trPr>
          <w:cantSplit/>
        </w:trPr>
        <w:tc>
          <w:tcPr>
            <w:tcW w:type="dxa" w:w="2498"/>
            <w:vAlign w:val="center"/>
            <w:tcMar>
              <w:top w:w="85" w:type="dxa"/>
              <w:bottom w:w="85" w:type="dxa"/>
              <w:left w:w="95" w:type="dxa"/>
              <w:right w:w="95" w:type="dxa"/>
            </w:tcMar>
            <w:shd w:fill="FFFFFF"/>
          </w:tcPr>
          <w:p>
            <w:pPr>
              <w:pStyle w:val="TableText"/>
              <w:keepNext w:val="0"/>
              <w:keepLines/>
              <w:jc w:val="center"/>
            </w:pPr>
            <w:r>
              <w:rPr>
                <w:sz w:val="20"/>
              </w:rPr>
              <w:t>Planetary scope</w:t>
            </w:r>
          </w:p>
        </w:tc>
        <w:tc>
          <w:tcPr>
            <w:tcW w:type="dxa" w:w="3298"/>
            <w:vAlign w:val="center"/>
            <w:tcMar>
              <w:top w:w="85" w:type="dxa"/>
              <w:bottom w:w="85" w:type="dxa"/>
              <w:left w:w="95" w:type="dxa"/>
              <w:right w:w="95" w:type="dxa"/>
            </w:tcMar>
            <w:shd w:fill="FFFFFF"/>
          </w:tcPr>
          <w:p>
            <w:pPr>
              <w:pStyle w:val="TableText"/>
              <w:keepNext w:val="0"/>
              <w:keepLines/>
            </w:pPr>
            <w:r>
              <w:rPr>
                <w:sz w:val="20"/>
              </w:rPr>
              <w:t>Develop the Solar System journey and two proposed worlds in a secret system.</w:t>
            </w:r>
          </w:p>
        </w:tc>
        <w:tc>
          <w:tcPr>
            <w:tcW w:type="dxa" w:w="4197"/>
            <w:vAlign w:val="center"/>
            <w:tcMar>
              <w:top w:w="85" w:type="dxa"/>
              <w:bottom w:w="85" w:type="dxa"/>
              <w:left w:w="95" w:type="dxa"/>
              <w:right w:w="95" w:type="dxa"/>
            </w:tcMar>
            <w:shd w:fill="FFFFFF"/>
          </w:tcPr>
          <w:p>
            <w:pPr>
              <w:pStyle w:val="TableText"/>
              <w:keepNext w:val="0"/>
              <w:keepLines/>
            </w:pPr>
            <w:r>
              <w:rPr>
                <w:sz w:val="20"/>
              </w:rPr>
              <w:t>Destination count, late-game narrative, spacecraft needs, and visual coverage.</w:t>
            </w:r>
          </w:p>
        </w:tc>
      </w:tr>
      <w:tr>
        <w:trPr>
          <w:cantSplit/>
        </w:trPr>
        <w:tc>
          <w:tcPr>
            <w:tcW w:type="dxa" w:w="2498"/>
            <w:vAlign w:val="center"/>
            <w:tcMar>
              <w:top w:w="85" w:type="dxa"/>
              <w:bottom w:w="85" w:type="dxa"/>
              <w:left w:w="95" w:type="dxa"/>
              <w:right w:w="95" w:type="dxa"/>
            </w:tcMar>
            <w:shd w:fill="F3F5F6"/>
          </w:tcPr>
          <w:p>
            <w:pPr>
              <w:pStyle w:val="TableText"/>
              <w:keepNext w:val="0"/>
              <w:keepLines/>
              <w:jc w:val="center"/>
            </w:pPr>
            <w:r>
              <w:rPr>
                <w:sz w:val="20"/>
              </w:rPr>
              <w:t>Tone</w:t>
            </w:r>
          </w:p>
        </w:tc>
        <w:tc>
          <w:tcPr>
            <w:tcW w:type="dxa" w:w="3298"/>
            <w:vAlign w:val="center"/>
            <w:tcMar>
              <w:top w:w="85" w:type="dxa"/>
              <w:bottom w:w="85" w:type="dxa"/>
              <w:left w:w="95" w:type="dxa"/>
              <w:right w:w="95" w:type="dxa"/>
            </w:tcMar>
            <w:shd w:fill="F3F5F6"/>
          </w:tcPr>
          <w:p>
            <w:pPr>
              <w:pStyle w:val="TableText"/>
              <w:keepNext w:val="0"/>
              <w:keepLines/>
            </w:pPr>
            <w:r>
              <w:rPr>
                <w:sz w:val="20"/>
              </w:rPr>
              <w:t>Familiar survival and community expand into dangerous, beautiful, increasingly strange exploration.</w:t>
            </w:r>
          </w:p>
        </w:tc>
        <w:tc>
          <w:tcPr>
            <w:tcW w:type="dxa" w:w="4197"/>
            <w:vAlign w:val="center"/>
            <w:tcMar>
              <w:top w:w="85" w:type="dxa"/>
              <w:bottom w:w="85" w:type="dxa"/>
              <w:left w:w="95" w:type="dxa"/>
              <w:right w:w="95" w:type="dxa"/>
            </w:tcMar>
            <w:shd w:fill="F3F5F6"/>
          </w:tcPr>
          <w:p>
            <w:pPr>
              <w:pStyle w:val="TableText"/>
              <w:keepNext w:val="0"/>
              <w:keepLines/>
            </w:pPr>
            <w:r>
              <w:rPr>
                <w:sz w:val="20"/>
              </w:rPr>
              <w:t>Creature design, encounter intensity, lighting, narrative language, and age suitability.</w:t>
            </w:r>
          </w:p>
        </w:tc>
      </w:tr>
      <w:tr>
        <w:trPr>
          <w:cantSplit/>
        </w:trPr>
        <w:tc>
          <w:tcPr>
            <w:tcW w:type="dxa" w:w="2498"/>
            <w:vAlign w:val="center"/>
            <w:tcMar>
              <w:top w:w="85" w:type="dxa"/>
              <w:bottom w:w="85" w:type="dxa"/>
              <w:left w:w="95" w:type="dxa"/>
              <w:right w:w="95" w:type="dxa"/>
            </w:tcMar>
            <w:shd w:fill="FFFFFF"/>
          </w:tcPr>
          <w:p>
            <w:pPr>
              <w:pStyle w:val="TableText"/>
              <w:keepNext w:val="0"/>
              <w:keepLines/>
              <w:jc w:val="center"/>
            </w:pPr>
            <w:r>
              <w:rPr>
                <w:sz w:val="20"/>
              </w:rPr>
              <w:t>Story delivery</w:t>
            </w:r>
          </w:p>
        </w:tc>
        <w:tc>
          <w:tcPr>
            <w:tcW w:type="dxa" w:w="3298"/>
            <w:vAlign w:val="center"/>
            <w:tcMar>
              <w:top w:w="85" w:type="dxa"/>
              <w:bottom w:w="85" w:type="dxa"/>
              <w:left w:w="95" w:type="dxa"/>
              <w:right w:w="95" w:type="dxa"/>
            </w:tcMar>
            <w:shd w:fill="FFFFFF"/>
          </w:tcPr>
          <w:p>
            <w:pPr>
              <w:pStyle w:val="TableText"/>
              <w:keepNext w:val="0"/>
              <w:keepLines/>
            </w:pPr>
            <w:r>
              <w:rPr>
                <w:sz w:val="20"/>
              </w:rPr>
              <w:t>Practical community goals and rare survey mysteries connect the journey.</w:t>
            </w:r>
          </w:p>
        </w:tc>
        <w:tc>
          <w:tcPr>
            <w:tcW w:type="dxa" w:w="4197"/>
            <w:vAlign w:val="center"/>
            <w:tcMar>
              <w:top w:w="85" w:type="dxa"/>
              <w:bottom w:w="85" w:type="dxa"/>
              <w:left w:w="95" w:type="dxa"/>
              <w:right w:w="95" w:type="dxa"/>
            </w:tcMar>
            <w:shd w:fill="FFFFFF"/>
          </w:tcPr>
          <w:p>
            <w:pPr>
              <w:pStyle w:val="TableText"/>
              <w:keepNext w:val="0"/>
              <w:keepLines/>
            </w:pPr>
            <w:r>
              <w:rPr>
                <w:sz w:val="20"/>
              </w:rPr>
              <w:t>Character writing, ruins, discoveries, and the meaning of the final expedition.</w:t>
            </w:r>
          </w:p>
        </w:tc>
      </w:tr>
      <w:tr>
        <w:trPr>
          <w:cantSplit/>
        </w:trPr>
        <w:tc>
          <w:tcPr>
            <w:tcW w:type="dxa" w:w="2498"/>
            <w:vAlign w:val="center"/>
            <w:tcMar>
              <w:top w:w="85" w:type="dxa"/>
              <w:bottom w:w="85" w:type="dxa"/>
              <w:left w:w="95" w:type="dxa"/>
              <w:right w:w="95" w:type="dxa"/>
            </w:tcMar>
            <w:shd w:fill="F3F5F6"/>
          </w:tcPr>
          <w:p>
            <w:pPr>
              <w:pStyle w:val="TableText"/>
              <w:keepNext w:val="0"/>
              <w:keepLines/>
              <w:jc w:val="center"/>
            </w:pPr>
            <w:r>
              <w:rPr>
                <w:sz w:val="20"/>
              </w:rPr>
              <w:t>Space travel</w:t>
            </w:r>
          </w:p>
        </w:tc>
        <w:tc>
          <w:tcPr>
            <w:tcW w:type="dxa" w:w="3298"/>
            <w:vAlign w:val="center"/>
            <w:tcMar>
              <w:top w:w="85" w:type="dxa"/>
              <w:bottom w:w="85" w:type="dxa"/>
              <w:left w:w="95" w:type="dxa"/>
              <w:right w:w="95" w:type="dxa"/>
            </w:tcMar>
            <w:shd w:fill="F3F5F6"/>
          </w:tcPr>
          <w:p>
            <w:pPr>
              <w:pStyle w:val="TableText"/>
              <w:keepNext w:val="0"/>
              <w:keepLines/>
            </w:pPr>
            <w:r>
              <w:rPr>
                <w:sz w:val="20"/>
              </w:rPr>
              <w:t>Recognized modular craft, readable local operation, and explicit destination travel.</w:t>
            </w:r>
          </w:p>
        </w:tc>
        <w:tc>
          <w:tcPr>
            <w:tcW w:type="dxa" w:w="4197"/>
            <w:vAlign w:val="center"/>
            <w:tcMar>
              <w:top w:w="85" w:type="dxa"/>
              <w:bottom w:w="85" w:type="dxa"/>
              <w:left w:w="95" w:type="dxa"/>
              <w:right w:w="95" w:type="dxa"/>
            </w:tcMar>
            <w:shd w:fill="F3F5F6"/>
          </w:tcPr>
          <w:p>
            <w:pPr>
              <w:pStyle w:val="TableText"/>
              <w:keepNext w:val="0"/>
              <w:keepLines/>
            </w:pPr>
            <w:r>
              <w:rPr>
                <w:sz w:val="20"/>
              </w:rPr>
              <w:t>Movement simulation, hull freedom, interiors, and technical scope.</w:t>
            </w:r>
          </w:p>
        </w:tc>
      </w:tr>
      <w:tr>
        <w:trPr>
          <w:cantSplit/>
        </w:trPr>
        <w:tc>
          <w:tcPr>
            <w:tcW w:type="dxa" w:w="2498"/>
            <w:vAlign w:val="center"/>
            <w:tcMar>
              <w:top w:w="85" w:type="dxa"/>
              <w:bottom w:w="85" w:type="dxa"/>
              <w:left w:w="95" w:type="dxa"/>
              <w:right w:w="95" w:type="dxa"/>
            </w:tcMar>
            <w:shd w:fill="FFFFFF"/>
          </w:tcPr>
          <w:p>
            <w:pPr>
              <w:pStyle w:val="TableText"/>
              <w:keepNext w:val="0"/>
              <w:keepLines/>
            </w:pPr>
            <w:r>
              <w:rPr>
                <w:sz w:val="20"/>
              </w:rPr>
              <w:t>Settlement behavior</w:t>
            </w:r>
          </w:p>
        </w:tc>
        <w:tc>
          <w:tcPr>
            <w:tcW w:type="dxa" w:w="3298"/>
            <w:vAlign w:val="center"/>
            <w:tcMar>
              <w:top w:w="85" w:type="dxa"/>
              <w:bottom w:w="85" w:type="dxa"/>
              <w:left w:w="95" w:type="dxa"/>
              <w:right w:w="95" w:type="dxa"/>
            </w:tcMar>
            <w:shd w:fill="FFFFFF"/>
          </w:tcPr>
          <w:p>
            <w:pPr>
              <w:pStyle w:val="TableText"/>
              <w:keepNext w:val="0"/>
              <w:keepLines/>
            </w:pPr>
            <w:r>
              <w:rPr>
                <w:sz w:val="20"/>
              </w:rPr>
              <w:t>Authored sites, scripted projects, useful services, and explicit regional pause.</w:t>
            </w:r>
          </w:p>
        </w:tc>
        <w:tc>
          <w:tcPr>
            <w:tcW w:type="dxa" w:w="4197"/>
            <w:vAlign w:val="center"/>
            <w:tcMar>
              <w:top w:w="85" w:type="dxa"/>
              <w:bottom w:w="85" w:type="dxa"/>
              <w:left w:w="95" w:type="dxa"/>
              <w:right w:w="95" w:type="dxa"/>
            </w:tcMar>
            <w:shd w:fill="FFFFFF"/>
          </w:tcPr>
          <w:p>
            <w:pPr>
              <w:pStyle w:val="TableText"/>
              <w:keepNext w:val="0"/>
              <w:keepLines/>
            </w:pPr>
            <w:r>
              <w:rPr>
                <w:sz w:val="20"/>
              </w:rPr>
              <w:t>Construction freedom, NPC complexity, absence behavior, and cooperation rules.</w:t>
            </w:r>
          </w:p>
        </w:tc>
      </w:tr>
      <w:tr>
        <w:trPr>
          <w:cantSplit/>
        </w:trPr>
        <w:tc>
          <w:tcPr>
            <w:tcW w:type="dxa" w:w="2498"/>
            <w:vAlign w:val="center"/>
            <w:tcMar>
              <w:top w:w="85" w:type="dxa"/>
              <w:bottom w:w="85" w:type="dxa"/>
              <w:left w:w="95" w:type="dxa"/>
              <w:right w:w="95" w:type="dxa"/>
            </w:tcMar>
            <w:shd w:fill="F3F5F6"/>
          </w:tcPr>
          <w:p>
            <w:pPr>
              <w:pStyle w:val="TableText"/>
              <w:keepNext w:val="0"/>
              <w:keepLines/>
            </w:pPr>
            <w:r>
              <w:rPr>
                <w:sz w:val="20"/>
              </w:rPr>
              <w:t>Failure and recovery</w:t>
            </w:r>
          </w:p>
        </w:tc>
        <w:tc>
          <w:tcPr>
            <w:tcW w:type="dxa" w:w="3298"/>
            <w:vAlign w:val="center"/>
            <w:tcMar>
              <w:top w:w="85" w:type="dxa"/>
              <w:bottom w:w="85" w:type="dxa"/>
              <w:left w:w="95" w:type="dxa"/>
              <w:right w:w="95" w:type="dxa"/>
            </w:tcMar>
            <w:shd w:fill="F3F5F6"/>
          </w:tcPr>
          <w:p>
            <w:pPr>
              <w:pStyle w:val="TableText"/>
              <w:keepNext w:val="0"/>
              <w:keepLines/>
            </w:pPr>
            <w:r>
              <w:rPr>
                <w:sz w:val="20"/>
              </w:rPr>
              <w:t>Preparation matters; essential progress and return paths remain recoverable.</w:t>
            </w:r>
          </w:p>
        </w:tc>
        <w:tc>
          <w:tcPr>
            <w:tcW w:type="dxa" w:w="4197"/>
            <w:vAlign w:val="center"/>
            <w:tcMar>
              <w:top w:w="85" w:type="dxa"/>
              <w:bottom w:w="85" w:type="dxa"/>
              <w:left w:w="95" w:type="dxa"/>
              <w:right w:w="95" w:type="dxa"/>
            </w:tcMar>
            <w:shd w:fill="F3F5F6"/>
          </w:tcPr>
          <w:p>
            <w:pPr>
              <w:pStyle w:val="TableText"/>
              <w:keepNext w:val="0"/>
              <w:keepLines/>
            </w:pPr>
            <w:r>
              <w:rPr>
                <w:sz w:val="20"/>
              </w:rPr>
              <w:t>Resource loss, rescue systems, difficulty modes, and expedition tension.</w:t>
            </w:r>
          </w:p>
        </w:tc>
      </w:tr>
      <w:tr>
        <w:trPr>
          <w:cantSplit/>
        </w:trPr>
        <w:tc>
          <w:tcPr>
            <w:tcW w:type="dxa" w:w="2498"/>
            <w:vAlign w:val="center"/>
            <w:tcMar>
              <w:top w:w="85" w:type="dxa"/>
              <w:bottom w:w="85" w:type="dxa"/>
              <w:left w:w="95" w:type="dxa"/>
              <w:right w:w="95" w:type="dxa"/>
            </w:tcMar>
            <w:shd w:fill="FFFFFF"/>
          </w:tcPr>
          <w:p>
            <w:pPr>
              <w:pStyle w:val="TableText"/>
              <w:keepNext w:val="0"/>
              <w:keepLines/>
              <w:jc w:val="center"/>
            </w:pPr>
            <w:r>
              <w:rPr>
                <w:sz w:val="20"/>
              </w:rPr>
              <w:t>Art delivery</w:t>
            </w:r>
          </w:p>
        </w:tc>
        <w:tc>
          <w:tcPr>
            <w:tcW w:type="dxa" w:w="3298"/>
            <w:vAlign w:val="center"/>
            <w:tcMar>
              <w:top w:w="85" w:type="dxa"/>
              <w:bottom w:w="85" w:type="dxa"/>
              <w:left w:w="95" w:type="dxa"/>
              <w:right w:w="95" w:type="dxa"/>
            </w:tcMar>
            <w:shd w:fill="FFFFFF"/>
          </w:tcPr>
          <w:p>
            <w:pPr>
              <w:pStyle w:val="TableText"/>
              <w:keepNext w:val="0"/>
              <w:keepLines/>
            </w:pPr>
            <w:r>
              <w:rPr>
                <w:sz w:val="20"/>
              </w:rPr>
              <w:t>Complete text first, then systematic imagery for every named content family.</w:t>
            </w:r>
          </w:p>
        </w:tc>
        <w:tc>
          <w:tcPr>
            <w:tcW w:type="dxa" w:w="4197"/>
            <w:vAlign w:val="center"/>
            <w:tcMar>
              <w:top w:w="85" w:type="dxa"/>
              <w:bottom w:w="85" w:type="dxa"/>
              <w:left w:w="95" w:type="dxa"/>
              <w:right w:w="95" w:type="dxa"/>
            </w:tcMar>
            <w:shd w:fill="FFFFFF"/>
          </w:tcPr>
          <w:p>
            <w:pPr>
              <w:pStyle w:val="TableText"/>
              <w:keepNext w:val="0"/>
              <w:keepLines/>
            </w:pPr>
            <w:r>
              <w:rPr>
                <w:sz w:val="20"/>
              </w:rPr>
              <w:t>The order of visual production and the structure of the illustrated document.</w:t>
            </w:r>
          </w:p>
        </w:tc>
      </w:tr>
    </w:tbl>
    <w:p>
      <w:pPr>
        <w:spacing w:after="0" w:before="0" w:line="60" w:lineRule="exact"/>
      </w:pPr>
      <w:r>
        <w:rPr>
          <w:sz w:val="6"/>
        </w:rPr>
      </w:r>
    </w:p>
    <w:p>
      <w:pPr/>
      <w:r>
        <w:t>These choices provide concrete positions to accept or change. They are not a request to resolve every recipe, statistic, character line, or engineering detail before the creative direction can be useful.</w:t>
      </w:r>
    </w:p>
    <w:p>
      <w:bookmarkStart w:id="36" w:name="chapter_36"/>
      <w:pPr>
        <w:pStyle w:val="Heading1"/>
      </w:pPr>
      <w:r>
        <w:t>Source records and terminology</w:t>
      </w:r>
      <w:bookmarkEnd w:id="36"/>
    </w:p>
    <w:p>
      <w:pPr>
        <w:pStyle w:val="Heading2"/>
      </w:pPr>
      <w:r>
        <w:t>Earlier project records</w:t>
      </w:r>
    </w:p>
    <w:p>
      <w:pPr/>
      <w:r>
        <w:t>SUBSTELLAR Development and Design Handbook version 0.1, prepared October 3, 2026, establishes the familiar surface, deeper underground, generation-first sequence, standalone-first direction, cooperative audience, and the working vertical specification. The relevant creative and scope material is on printed pages 5 and 20 through 27. The handbook's source filename is SUBSTELLAR_Development_Handbook_v0.1.pdf.</w:t>
      </w:r>
    </w:p>
    <w:p>
      <w:pPr/>
      <w:r>
        <w:t>SUBSTELLAR Brochure Print, created October 5, 2026, records the connection between the guesthouse, crossing, quarry, useful construction, guided adventure, free building, and eventual planetary outposts. Its imagery is identified in that record as concept imagery. The source filename is SUBSTELLAR_Brochure_Print.pdf.</w:t>
      </w:r>
    </w:p>
    <w:p>
      <w:pPr/>
      <w:r>
        <w:t>The earlier SUBSTELLAR concept approved on October 3, 2026 supplies the product identity, realm names, rocket capability classes, and the chapter families First Descent, Pale Horizon, Red Frontier, Outer Worlds, and Beyond Sol. The integrated Project Vanilla discussion approved on October 5, 2026 supplies the preserved Old Valley sequence and the material-fed, bounded, pausable construction direction. Character roles are used in this edition where a name is not fixed within the available design record; they do not supersede an established character.</w:t>
      </w:r>
    </w:p>
    <w:p>
      <w:pPr/>
      <w:r>
        <w:t>New environment variants, material treatments, creatures, flora, outpost details, hull examples, and system behaviors in this edition are creative proposals. They are not scientific claims, current software documentation, or verified feature reports. Later implementation planning must consult the actual repository and then-current technical documentation for engineering details.</w:t>
      </w:r>
    </w:p>
    <w:p>
      <w:pPr>
        <w:pStyle w:val="Heading2"/>
      </w:pPr>
      <w:r>
        <w:t>A short shared vocabulary</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2898"/>
        <w:gridCol w:w="7095"/>
      </w:tblGrid>
      <w:tr>
        <w:trPr>
          <w:cantSplit/>
          <w:tblHeader w:val="true"/>
        </w:trPr>
        <w:tc>
          <w:tcPr>
            <w:tcW w:type="dxa" w:w="2898"/>
            <w:vAlign w:val="center"/>
            <w:tcMar>
              <w:top w:w="85" w:type="dxa"/>
              <w:bottom w:w="85" w:type="dxa"/>
              <w:left w:w="95" w:type="dxa"/>
              <w:right w:w="95" w:type="dxa"/>
            </w:tcMar>
            <w:shd w:fill="233544"/>
          </w:tcPr>
          <w:p>
            <w:pPr>
              <w:pStyle w:val="TableText"/>
              <w:keepNext w:val="0"/>
              <w:keepLines/>
              <w:jc w:val="center"/>
            </w:pPr>
            <w:r>
              <w:rPr>
                <w:b/>
                <w:color w:val="FFFFFF"/>
                <w:sz w:val="20"/>
              </w:rPr>
              <w:t>Term</w:t>
            </w:r>
          </w:p>
        </w:tc>
        <w:tc>
          <w:tcPr>
            <w:tcW w:type="dxa" w:w="7095"/>
            <w:vAlign w:val="center"/>
            <w:tcMar>
              <w:top w:w="85" w:type="dxa"/>
              <w:bottom w:w="85" w:type="dxa"/>
              <w:left w:w="95" w:type="dxa"/>
              <w:right w:w="95" w:type="dxa"/>
            </w:tcMar>
            <w:shd w:fill="233544"/>
          </w:tcPr>
          <w:p>
            <w:pPr>
              <w:pStyle w:val="TableText"/>
              <w:keepNext w:val="0"/>
              <w:keepLines/>
            </w:pPr>
            <w:r>
              <w:rPr>
                <w:b/>
                <w:color w:val="FFFFFF"/>
                <w:sz w:val="20"/>
              </w:rPr>
              <w:t>Meaning in this document</w:t>
            </w:r>
          </w:p>
        </w:tc>
      </w:tr>
      <w:tr>
        <w:trPr>
          <w:cantSplit/>
        </w:trPr>
        <w:tc>
          <w:tcPr>
            <w:tcW w:type="dxa" w:w="2898"/>
            <w:vAlign w:val="center"/>
            <w:tcMar>
              <w:top w:w="85" w:type="dxa"/>
              <w:bottom w:w="85" w:type="dxa"/>
              <w:left w:w="95" w:type="dxa"/>
              <w:right w:w="95" w:type="dxa"/>
            </w:tcMar>
            <w:shd w:fill="FFFFFF"/>
          </w:tcPr>
          <w:p>
            <w:pPr>
              <w:pStyle w:val="TableText"/>
              <w:keepNext w:val="0"/>
              <w:keepLines/>
              <w:jc w:val="center"/>
            </w:pPr>
            <w:r>
              <w:rPr>
                <w:sz w:val="20"/>
              </w:rPr>
              <w:t>Realm</w:t>
            </w:r>
          </w:p>
        </w:tc>
        <w:tc>
          <w:tcPr>
            <w:tcW w:type="dxa" w:w="7095"/>
            <w:vAlign w:val="center"/>
            <w:tcMar>
              <w:top w:w="85" w:type="dxa"/>
              <w:bottom w:w="85" w:type="dxa"/>
              <w:left w:w="95" w:type="dxa"/>
              <w:right w:w="95" w:type="dxa"/>
            </w:tcMar>
            <w:shd w:fill="FFFFFF"/>
          </w:tcPr>
          <w:p>
            <w:pPr>
              <w:pStyle w:val="TableText"/>
              <w:keepNext w:val="0"/>
              <w:keepLines/>
            </w:pPr>
            <w:r>
              <w:rPr>
                <w:sz w:val="20"/>
              </w:rPr>
              <w:t>A major Earth environmental identity such as Deepwilds or Underreach, with irregular spatial extent.</w:t>
            </w:r>
          </w:p>
        </w:tc>
      </w:tr>
      <w:tr>
        <w:trPr>
          <w:cantSplit/>
        </w:trPr>
        <w:tc>
          <w:tcPr>
            <w:tcW w:type="dxa" w:w="2898"/>
            <w:vAlign w:val="center"/>
            <w:tcMar>
              <w:top w:w="85" w:type="dxa"/>
              <w:bottom w:w="85" w:type="dxa"/>
              <w:left w:w="95" w:type="dxa"/>
              <w:right w:w="95" w:type="dxa"/>
            </w:tcMar>
            <w:shd w:fill="F3F5F6"/>
          </w:tcPr>
          <w:p>
            <w:pPr>
              <w:pStyle w:val="TableText"/>
              <w:keepNext w:val="0"/>
              <w:keepLines/>
            </w:pPr>
            <w:r>
              <w:rPr>
                <w:sz w:val="20"/>
              </w:rPr>
              <w:t>Experience variant</w:t>
            </w:r>
          </w:p>
        </w:tc>
        <w:tc>
          <w:tcPr>
            <w:tcW w:type="dxa" w:w="7095"/>
            <w:vAlign w:val="center"/>
            <w:tcMar>
              <w:top w:w="85" w:type="dxa"/>
              <w:bottom w:w="85" w:type="dxa"/>
              <w:left w:w="95" w:type="dxa"/>
              <w:right w:w="95" w:type="dxa"/>
            </w:tcMar>
            <w:shd w:fill="F3F5F6"/>
          </w:tcPr>
          <w:p>
            <w:pPr>
              <w:pStyle w:val="TableText"/>
              <w:keepNext w:val="0"/>
              <w:keepLines/>
            </w:pPr>
            <w:r>
              <w:rPr>
                <w:sz w:val="20"/>
              </w:rPr>
              <w:t>A distinct local landscape and activity pattern within a realm or destination.</w:t>
            </w:r>
          </w:p>
        </w:tc>
      </w:tr>
      <w:tr>
        <w:trPr>
          <w:cantSplit/>
        </w:trPr>
        <w:tc>
          <w:tcPr>
            <w:tcW w:type="dxa" w:w="2898"/>
            <w:vAlign w:val="center"/>
            <w:tcMar>
              <w:top w:w="85" w:type="dxa"/>
              <w:bottom w:w="85" w:type="dxa"/>
              <w:left w:w="95" w:type="dxa"/>
              <w:right w:w="95" w:type="dxa"/>
            </w:tcMar>
            <w:shd w:fill="FFFFFF"/>
          </w:tcPr>
          <w:p>
            <w:pPr>
              <w:pStyle w:val="TableText"/>
              <w:keepNext w:val="0"/>
              <w:keepLines/>
              <w:jc w:val="center"/>
            </w:pPr>
            <w:r>
              <w:rPr>
                <w:sz w:val="20"/>
              </w:rPr>
              <w:t>Stratum</w:t>
            </w:r>
          </w:p>
        </w:tc>
        <w:tc>
          <w:tcPr>
            <w:tcW w:type="dxa" w:w="7095"/>
            <w:vAlign w:val="center"/>
            <w:tcMar>
              <w:top w:w="85" w:type="dxa"/>
              <w:bottom w:w="85" w:type="dxa"/>
              <w:left w:w="95" w:type="dxa"/>
              <w:right w:w="95" w:type="dxa"/>
            </w:tcMar>
            <w:shd w:fill="FFFFFF"/>
          </w:tcPr>
          <w:p>
            <w:pPr>
              <w:pStyle w:val="TableText"/>
              <w:keepNext w:val="0"/>
              <w:keepLines/>
            </w:pPr>
            <w:r>
              <w:rPr>
                <w:sz w:val="20"/>
              </w:rPr>
              <w:t>A depth-related generation region or prototype band; not automatically a finished content realm.</w:t>
            </w:r>
          </w:p>
        </w:tc>
      </w:tr>
      <w:tr>
        <w:trPr>
          <w:cantSplit/>
        </w:trPr>
        <w:tc>
          <w:tcPr>
            <w:tcW w:type="dxa" w:w="2898"/>
            <w:vAlign w:val="center"/>
            <w:tcMar>
              <w:top w:w="85" w:type="dxa"/>
              <w:bottom w:w="85" w:type="dxa"/>
              <w:left w:w="95" w:type="dxa"/>
              <w:right w:w="95" w:type="dxa"/>
            </w:tcMar>
            <w:shd w:fill="F3F5F6"/>
          </w:tcPr>
          <w:p>
            <w:pPr>
              <w:pStyle w:val="TableText"/>
              <w:keepNext w:val="0"/>
              <w:keepLines/>
              <w:jc w:val="center"/>
            </w:pPr>
            <w:r>
              <w:rPr>
                <w:sz w:val="20"/>
              </w:rPr>
              <w:t>Authored region</w:t>
            </w:r>
          </w:p>
        </w:tc>
        <w:tc>
          <w:tcPr>
            <w:tcW w:type="dxa" w:w="7095"/>
            <w:vAlign w:val="center"/>
            <w:tcMar>
              <w:top w:w="85" w:type="dxa"/>
              <w:bottom w:w="85" w:type="dxa"/>
              <w:left w:w="95" w:type="dxa"/>
              <w:right w:w="95" w:type="dxa"/>
            </w:tcMar>
            <w:shd w:fill="F3F5F6"/>
          </w:tcPr>
          <w:p>
            <w:pPr>
              <w:pStyle w:val="TableText"/>
              <w:keepNext w:val="0"/>
              <w:keepLines/>
            </w:pPr>
            <w:r>
              <w:rPr>
                <w:sz w:val="20"/>
              </w:rPr>
              <w:t>A bounded area with saved activity, chapters, construction, and participation rules.</w:t>
            </w:r>
          </w:p>
        </w:tc>
      </w:tr>
      <w:tr>
        <w:trPr>
          <w:cantSplit/>
        </w:trPr>
        <w:tc>
          <w:tcPr>
            <w:tcW w:type="dxa" w:w="2898"/>
            <w:vAlign w:val="center"/>
            <w:tcMar>
              <w:top w:w="85" w:type="dxa"/>
              <w:bottom w:w="85" w:type="dxa"/>
              <w:left w:w="95" w:type="dxa"/>
              <w:right w:w="95" w:type="dxa"/>
            </w:tcMar>
            <w:shd w:fill="FFFFFF"/>
          </w:tcPr>
          <w:p>
            <w:pPr>
              <w:pStyle w:val="TableText"/>
              <w:keepNext w:val="0"/>
              <w:keepLines/>
            </w:pPr>
            <w:r>
              <w:rPr>
                <w:sz w:val="20"/>
              </w:rPr>
              <w:t>Project block or controller</w:t>
            </w:r>
          </w:p>
        </w:tc>
        <w:tc>
          <w:tcPr>
            <w:tcW w:type="dxa" w:w="7095"/>
            <w:vAlign w:val="center"/>
            <w:tcMar>
              <w:top w:w="85" w:type="dxa"/>
              <w:bottom w:w="85" w:type="dxa"/>
              <w:left w:w="95" w:type="dxa"/>
              <w:right w:w="95" w:type="dxa"/>
            </w:tcMar>
            <w:shd w:fill="FFFFFF"/>
          </w:tcPr>
          <w:p>
            <w:pPr>
              <w:pStyle w:val="TableText"/>
              <w:keepNext w:val="0"/>
              <w:keepLines/>
            </w:pPr>
            <w:r>
              <w:rPr>
                <w:sz w:val="20"/>
              </w:rPr>
              <w:t>The in-world interface for a specific predefined project and its materials, stages, and services.</w:t>
            </w:r>
          </w:p>
        </w:tc>
      </w:tr>
      <w:tr>
        <w:trPr>
          <w:cantSplit/>
        </w:trPr>
        <w:tc>
          <w:tcPr>
            <w:tcW w:type="dxa" w:w="2898"/>
            <w:vAlign w:val="center"/>
            <w:tcMar>
              <w:top w:w="85" w:type="dxa"/>
              <w:bottom w:w="85" w:type="dxa"/>
              <w:left w:w="95" w:type="dxa"/>
              <w:right w:w="95" w:type="dxa"/>
            </w:tcMar>
            <w:shd w:fill="F3F5F6"/>
          </w:tcPr>
          <w:p>
            <w:pPr>
              <w:pStyle w:val="TableText"/>
              <w:keepNext w:val="0"/>
              <w:keepLines/>
              <w:jc w:val="center"/>
            </w:pPr>
            <w:r>
              <w:rPr>
                <w:sz w:val="20"/>
              </w:rPr>
              <w:t>Anchor</w:t>
            </w:r>
          </w:p>
        </w:tc>
        <w:tc>
          <w:tcPr>
            <w:tcW w:type="dxa" w:w="7095"/>
            <w:vAlign w:val="center"/>
            <w:tcMar>
              <w:top w:w="85" w:type="dxa"/>
              <w:bottom w:w="85" w:type="dxa"/>
              <w:left w:w="95" w:type="dxa"/>
              <w:right w:w="95" w:type="dxa"/>
            </w:tcMar>
            <w:shd w:fill="F3F5F6"/>
          </w:tcPr>
          <w:p>
            <w:pPr>
              <w:pStyle w:val="TableText"/>
              <w:keepNext w:val="0"/>
              <w:keepLines/>
            </w:pPr>
            <w:r>
              <w:rPr>
                <w:sz w:val="20"/>
              </w:rPr>
              <w:t>A useful refuge, settlement, workshop, or outpost that gives a region a place to return to.</w:t>
            </w:r>
          </w:p>
        </w:tc>
      </w:tr>
      <w:tr>
        <w:trPr>
          <w:cantSplit/>
        </w:trPr>
        <w:tc>
          <w:tcPr>
            <w:tcW w:type="dxa" w:w="2898"/>
            <w:vAlign w:val="center"/>
            <w:tcMar>
              <w:top w:w="85" w:type="dxa"/>
              <w:bottom w:w="85" w:type="dxa"/>
              <w:left w:w="95" w:type="dxa"/>
              <w:right w:w="95" w:type="dxa"/>
            </w:tcMar>
            <w:shd w:fill="FFFFFF"/>
          </w:tcPr>
          <w:p>
            <w:pPr>
              <w:pStyle w:val="TableText"/>
              <w:keepNext w:val="0"/>
              <w:keepLines/>
              <w:jc w:val="center"/>
            </w:pPr>
            <w:r>
              <w:rPr>
                <w:sz w:val="20"/>
              </w:rPr>
              <w:t>Capability</w:t>
            </w:r>
          </w:p>
        </w:tc>
        <w:tc>
          <w:tcPr>
            <w:tcW w:type="dxa" w:w="7095"/>
            <w:vAlign w:val="center"/>
            <w:tcMar>
              <w:top w:w="85" w:type="dxa"/>
              <w:bottom w:w="85" w:type="dxa"/>
              <w:left w:w="95" w:type="dxa"/>
              <w:right w:w="95" w:type="dxa"/>
            </w:tcMar>
            <w:shd w:fill="FFFFFF"/>
          </w:tcPr>
          <w:p>
            <w:pPr>
              <w:pStyle w:val="TableText"/>
              <w:keepNext w:val="0"/>
              <w:keepLines/>
            </w:pPr>
            <w:r>
              <w:rPr>
                <w:sz w:val="20"/>
              </w:rPr>
              <w:t>An action or condition the player can now handle, such as sealed travel or controlled vertical cargo movement.</w:t>
            </w:r>
          </w:p>
        </w:tc>
      </w:tr>
      <w:tr>
        <w:trPr>
          <w:cantSplit/>
        </w:trPr>
        <w:tc>
          <w:tcPr>
            <w:tcW w:type="dxa" w:w="2898"/>
            <w:vAlign w:val="center"/>
            <w:tcMar>
              <w:top w:w="85" w:type="dxa"/>
              <w:bottom w:w="85" w:type="dxa"/>
              <w:left w:w="95" w:type="dxa"/>
              <w:right w:w="95" w:type="dxa"/>
            </w:tcMar>
            <w:shd w:fill="F3F5F6"/>
          </w:tcPr>
          <w:p>
            <w:pPr>
              <w:pStyle w:val="TableText"/>
              <w:keepNext w:val="0"/>
              <w:keepLines/>
              <w:jc w:val="center"/>
            </w:pPr>
            <w:r>
              <w:rPr>
                <w:sz w:val="20"/>
              </w:rPr>
              <w:t>Expedition</w:t>
            </w:r>
          </w:p>
        </w:tc>
        <w:tc>
          <w:tcPr>
            <w:tcW w:type="dxa" w:w="7095"/>
            <w:vAlign w:val="center"/>
            <w:tcMar>
              <w:top w:w="85" w:type="dxa"/>
              <w:bottom w:w="85" w:type="dxa"/>
              <w:left w:w="95" w:type="dxa"/>
              <w:right w:w="95" w:type="dxa"/>
            </w:tcMar>
            <w:shd w:fill="F3F5F6"/>
          </w:tcPr>
          <w:p>
            <w:pPr>
              <w:pStyle w:val="TableText"/>
              <w:keepNext w:val="0"/>
              <w:keepLines/>
            </w:pPr>
            <w:r>
              <w:rPr>
                <w:sz w:val="20"/>
              </w:rPr>
              <w:t>A prepared trip with a purpose, route, useful finding, and return or secured stopping point.</w:t>
            </w:r>
          </w:p>
        </w:tc>
      </w:tr>
      <w:tr>
        <w:trPr>
          <w:cantSplit/>
        </w:trPr>
        <w:tc>
          <w:tcPr>
            <w:tcW w:type="dxa" w:w="2898"/>
            <w:vAlign w:val="center"/>
            <w:tcMar>
              <w:top w:w="85" w:type="dxa"/>
              <w:bottom w:w="85" w:type="dxa"/>
              <w:left w:w="95" w:type="dxa"/>
              <w:right w:w="95" w:type="dxa"/>
            </w:tcMar>
            <w:shd w:fill="FFFFFF"/>
          </w:tcPr>
          <w:p>
            <w:pPr>
              <w:pStyle w:val="TableText"/>
              <w:keepNext w:val="0"/>
              <w:keepLines/>
              <w:jc w:val="center"/>
            </w:pPr>
            <w:r>
              <w:rPr>
                <w:sz w:val="20"/>
              </w:rPr>
              <w:t>Destination</w:t>
            </w:r>
          </w:p>
        </w:tc>
        <w:tc>
          <w:tcPr>
            <w:tcW w:type="dxa" w:w="7095"/>
            <w:vAlign w:val="center"/>
            <w:tcMar>
              <w:top w:w="85" w:type="dxa"/>
              <w:bottom w:w="85" w:type="dxa"/>
              <w:left w:w="95" w:type="dxa"/>
              <w:right w:w="95" w:type="dxa"/>
            </w:tcMar>
            <w:shd w:fill="FFFFFF"/>
          </w:tcPr>
          <w:p>
            <w:pPr>
              <w:pStyle w:val="TableText"/>
              <w:keepNext w:val="0"/>
              <w:keepLines/>
            </w:pPr>
            <w:r>
              <w:rPr>
                <w:sz w:val="20"/>
              </w:rPr>
              <w:t>A playable world, moon, small body, or supported space location with a defined travel role.</w:t>
            </w:r>
          </w:p>
        </w:tc>
      </w:tr>
      <w:tr>
        <w:trPr>
          <w:cantSplit/>
        </w:trPr>
        <w:tc>
          <w:tcPr>
            <w:tcW w:type="dxa" w:w="2898"/>
            <w:vAlign w:val="center"/>
            <w:tcMar>
              <w:top w:w="85" w:type="dxa"/>
              <w:bottom w:w="85" w:type="dxa"/>
              <w:left w:w="95" w:type="dxa"/>
              <w:right w:w="95" w:type="dxa"/>
            </w:tcMar>
            <w:shd w:fill="F3F5F6"/>
          </w:tcPr>
          <w:p>
            <w:pPr>
              <w:pStyle w:val="TableText"/>
              <w:keepNext w:val="0"/>
              <w:keepLines/>
              <w:jc w:val="center"/>
            </w:pPr>
            <w:r>
              <w:rPr>
                <w:sz w:val="20"/>
              </w:rPr>
              <w:t>Hull class</w:t>
            </w:r>
          </w:p>
        </w:tc>
        <w:tc>
          <w:tcPr>
            <w:tcW w:type="dxa" w:w="7095"/>
            <w:vAlign w:val="center"/>
            <w:tcMar>
              <w:top w:w="85" w:type="dxa"/>
              <w:bottom w:w="85" w:type="dxa"/>
              <w:left w:w="95" w:type="dxa"/>
              <w:right w:w="95" w:type="dxa"/>
            </w:tcMar>
            <w:shd w:fill="F3F5F6"/>
          </w:tcPr>
          <w:p>
            <w:pPr>
              <w:pStyle w:val="TableText"/>
              <w:keepNext w:val="0"/>
              <w:keepLines/>
            </w:pPr>
            <w:r>
              <w:rPr>
                <w:sz w:val="20"/>
              </w:rPr>
              <w:t>A spacecraft capability family; named hulls are proposed representative designs within that family.</w:t>
            </w:r>
          </w:p>
        </w:tc>
      </w:tr>
      <w:tr>
        <w:trPr>
          <w:cantSplit/>
        </w:trPr>
        <w:tc>
          <w:tcPr>
            <w:tcW w:type="dxa" w:w="2898"/>
            <w:vAlign w:val="center"/>
            <w:tcMar>
              <w:top w:w="85" w:type="dxa"/>
              <w:bottom w:w="85" w:type="dxa"/>
              <w:left w:w="95" w:type="dxa"/>
              <w:right w:w="95" w:type="dxa"/>
            </w:tcMar>
            <w:shd w:fill="FFFFFF"/>
          </w:tcPr>
          <w:p>
            <w:pPr>
              <w:pStyle w:val="TableText"/>
              <w:keepNext w:val="0"/>
              <w:keepLines/>
              <w:jc w:val="center"/>
            </w:pPr>
            <w:r>
              <w:rPr>
                <w:sz w:val="20"/>
              </w:rPr>
              <w:t>Heart</w:t>
            </w:r>
          </w:p>
        </w:tc>
        <w:tc>
          <w:tcPr>
            <w:tcW w:type="dxa" w:w="7095"/>
            <w:vAlign w:val="center"/>
            <w:tcMar>
              <w:top w:w="85" w:type="dxa"/>
              <w:bottom w:w="85" w:type="dxa"/>
              <w:left w:w="95" w:type="dxa"/>
              <w:right w:w="95" w:type="dxa"/>
            </w:tcMar>
            <w:shd w:fill="FFFFFF"/>
          </w:tcPr>
          <w:p>
            <w:pPr>
              <w:pStyle w:val="TableText"/>
              <w:keepNext w:val="0"/>
              <w:keepLines/>
            </w:pPr>
            <w:r>
              <w:rPr>
                <w:sz w:val="20"/>
              </w:rPr>
              <w:t>The fictional deep Earth environment associated with the established Core realm name.</w:t>
            </w:r>
          </w:p>
        </w:tc>
      </w:tr>
      <w:tr>
        <w:trPr>
          <w:cantSplit/>
        </w:trPr>
        <w:tc>
          <w:tcPr>
            <w:tcW w:type="dxa" w:w="2898"/>
            <w:vAlign w:val="center"/>
            <w:tcMar>
              <w:top w:w="85" w:type="dxa"/>
              <w:bottom w:w="85" w:type="dxa"/>
              <w:left w:w="95" w:type="dxa"/>
              <w:right w:w="95" w:type="dxa"/>
            </w:tcMar>
            <w:shd w:fill="F3F5F6"/>
          </w:tcPr>
          <w:p>
            <w:pPr>
              <w:pStyle w:val="TableText"/>
              <w:keepNext w:val="0"/>
              <w:keepLines/>
            </w:pPr>
            <w:r>
              <w:rPr>
                <w:sz w:val="20"/>
              </w:rPr>
              <w:t>Illustrated edition</w:t>
            </w:r>
          </w:p>
        </w:tc>
        <w:tc>
          <w:tcPr>
            <w:tcW w:type="dxa" w:w="7095"/>
            <w:vAlign w:val="center"/>
            <w:tcMar>
              <w:top w:w="85" w:type="dxa"/>
              <w:bottom w:w="85" w:type="dxa"/>
              <w:left w:w="95" w:type="dxa"/>
              <w:right w:w="95" w:type="dxa"/>
            </w:tcMar>
            <w:shd w:fill="F3F5F6"/>
          </w:tcPr>
          <w:p>
            <w:pPr>
              <w:pStyle w:val="TableText"/>
              <w:keepNext w:val="0"/>
              <w:keepLines/>
            </w:pPr>
            <w:r>
              <w:rPr>
                <w:sz w:val="20"/>
              </w:rPr>
              <w:t>The complete approved text with consistent concept imagery and exact supporting diagrams integrated alongside it.</w:t>
            </w:r>
          </w:p>
        </w:tc>
      </w:tr>
    </w:tbl>
    <w:p>
      <w:pPr>
        <w:spacing w:after="0" w:before="0" w:line="60" w:lineRule="exact"/>
      </w:pPr>
      <w:r>
        <w:rPr>
          <w:sz w:val="6"/>
        </w:rPr>
      </w:r>
    </w:p>
    <w:sectPr w:rsidR="00FC693F" w:rsidRPr="0006063C" w:rsidSect="00034616">
      <w:headerReference w:type="default" r:id="rId9"/>
      <w:footerReference w:type="default" r:id="rId10"/>
      <w:pgSz w:w="12240" w:h="15840"/>
      <w:pgMar w:top="1123" w:right="1123" w:bottom="1066" w:left="1123" w:header="432" w:footer="461"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Text"/>
      <w:jc w:val="right"/>
    </w:pPr>
    <w:r>
      <w:fldChar w:fldCharType="begin"/>
    </w:r>
    <w:r>
      <w:instrText xml:space="preserve"> PAGE </w:instrTex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mallText"/>
      <w:spacing w:after="0"/>
    </w:pPr>
    <w:r>
      <w:t>SUBSTELLAR   Creative and Product Direction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20"/>
    </w:pPr>
    <w:rPr>
      <w:rFonts w:ascii="DejaVu Sans" w:hAnsi="DejaVu Sans" w:eastAsia="DejaVu Sans" w:cs="DejaVu Sans"/>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val="0"/>
      <w:spacing w:before="480" w:after="140"/>
      <w:outlineLvl w:val="0"/>
    </w:pPr>
    <w:rPr>
      <w:rFonts w:ascii="DejaVu Sans" w:hAnsi="DejaVu Sans" w:eastAsia="DejaVu Sans" w:cs="DejaVu Sans"/>
      <w:b/>
      <w:bCs/>
      <w:color w:val="000000"/>
      <w:sz w:val="42"/>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DejaVu Sans" w:hAnsi="DejaVu Sans" w:eastAsia="DejaVu Sans" w:cs="DejaVu Sans"/>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80" w:after="140"/>
      <w:outlineLvl w:val="2"/>
    </w:pPr>
    <w:rPr>
      <w:rFonts w:ascii="DejaVu Sans" w:hAnsi="DejaVu Sans" w:eastAsia="DejaVu Sans" w:cs="DejaVu Sans"/>
      <w:b/>
      <w:bCs/>
      <w:color w:val="000000"/>
      <w:sz w:val="23"/>
    </w:rPr>
  </w:style>
  <w:style w:type="paragraph" w:styleId="Heading4">
    <w:name w:val="heading 4"/>
    <w:basedOn w:val="Normal"/>
    <w:next w:val="Normal"/>
    <w:link w:val="Heading4Char"/>
    <w:uiPriority w:val="9"/>
    <w:semiHidden/>
    <w:unhideWhenUsed/>
    <w:qFormat/>
    <w:rsid w:val="00FC693F"/>
    <w:pPr>
      <w:keepNext/>
      <w:keepLines/>
      <w:spacing w:before="280" w:after="140"/>
      <w:outlineLvl w:val="3"/>
    </w:pPr>
    <w:rPr>
      <w:rFonts w:ascii="DejaVu Sans" w:hAnsi="DejaVu Sans" w:eastAsia="DejaVu Sans" w:cs="DejaVu Sans"/>
      <w:b/>
      <w:bCs/>
      <w:i/>
      <w:iCs/>
      <w:color w:val="000000"/>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140" w:line="240" w:lineRule="auto" w:before="0"/>
      <w:contextualSpacing/>
    </w:pPr>
    <w:rPr>
      <w:rFonts w:ascii="DejaVu Sans" w:hAnsi="DejaVu Sans" w:eastAsia="DejaVu Sans" w:cs="DejaVu Sans"/>
      <w:b w:val="0"/>
      <w:color w:val="000000"/>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keepLines/>
      <w:numPr>
        <w:ilvl w:val="1"/>
      </w:numPr>
      <w:spacing w:before="0" w:after="140"/>
    </w:pPr>
    <w:rPr>
      <w:rFonts w:ascii="DejaVu Sans" w:hAnsi="DejaVu Sans" w:eastAsia="DejaVu Sans" w:cs="DejaVu Sans"/>
      <w:b w:val="0"/>
      <w:i/>
      <w:iCs/>
      <w:color w:val="000000"/>
      <w:spacing w:val="15"/>
      <w:sz w:val="4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9" w:lineRule="auto"/>
      <w:contextualSpacing/>
    </w:pPr>
    <w:rPr>
      <w:rFonts w:ascii="DejaVu Sans" w:hAnsi="DejaVu Sans" w:eastAsia="DejaVu Sans" w:cs="DejaVu Sans"/>
      <w:b w:val="0"/>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80" w:line="259" w:lineRule="auto"/>
      <w:contextualSpacing/>
    </w:pPr>
    <w:rPr>
      <w:rFonts w:ascii="DejaVu Sans" w:hAnsi="DejaVu Sans" w:eastAsia="DejaVu Sans" w:cs="DejaVu Sans"/>
      <w:b w:val="0"/>
      <w:color w:val="000000"/>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 Text"/>
    <w:pPr>
      <w:spacing w:line="250" w:lineRule="auto" w:after="20" w:before="20"/>
    </w:pPr>
    <w:rPr>
      <w:rFonts w:ascii="DejaVu Sans" w:hAnsi="DejaVu Sans" w:eastAsia="DejaVu Sans" w:cs="DejaVu Sans"/>
      <w:b w:val="0"/>
      <w:color w:val="000000"/>
      <w:sz w:val="20"/>
    </w:rPr>
  </w:style>
  <w:style w:type="paragraph" w:customStyle="1" w:styleId="TOCEntry">
    <w:name w:val="TOC Entry"/>
    <w:pPr>
      <w:keepLines/>
      <w:tabs>
        <w:tab w:pos="9965" w:val="right" w:leader="dot"/>
      </w:tabs>
      <w:spacing w:after="80" w:line="245" w:lineRule="auto"/>
    </w:pPr>
    <w:rPr>
      <w:rFonts w:ascii="DejaVu Sans" w:hAnsi="DejaVu Sans" w:eastAsia="DejaVu Sans" w:cs="DejaVu Sans"/>
      <w:b w:val="0"/>
      <w:color w:val="000000"/>
      <w:sz w:val="21"/>
    </w:rPr>
  </w:style>
  <w:style w:type="paragraph" w:customStyle="1" w:styleId="SmallText">
    <w:name w:val="Small Text"/>
    <w:rPr>
      <w:rFonts w:ascii="DejaVu Sans" w:hAnsi="DejaVu Sans" w:eastAsia="DejaVu Sans" w:cs="DejaVu Sans"/>
      <w:b w:val="0"/>
      <w:color w:val="000000"/>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SUBSTELLAR Creative and Product Direction</dc:title>
  <dc:subject>Complete text edition for creative review and future roadmap development</dc:subject>
  <dc:creator>SUBSTELLAR</dc:creator>
  <cp:keywords>SUBSTELLAR, world generation, product direction, creative reference, text edition</cp:keywords>
  <dc:description>generated by python-docx</dc:description>
  <cp:lastModifiedBy/>
  <cp:revision>1</cp:revision>
  <dcterms:created xsi:type="dcterms:W3CDTF">2013-12-23T23:15:00Z</dcterms:created>
  <dcterms:modified xsi:type="dcterms:W3CDTF">2013-12-23T23:15:00Z</dcterms:modified>
  <cp:category/>
</cp:coreProperties>
</file>